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5"/>
        <w:gridCol w:w="204"/>
        <w:gridCol w:w="492"/>
        <w:gridCol w:w="175"/>
        <w:gridCol w:w="118"/>
        <w:gridCol w:w="177"/>
        <w:gridCol w:w="137"/>
        <w:gridCol w:w="286"/>
        <w:gridCol w:w="173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6"/>
        <w:gridCol w:w="15"/>
        <w:gridCol w:w="543"/>
        <w:gridCol w:w="26"/>
      </w:tblGrid>
      <w:tr w:rsidR="00813B97" w:rsidRPr="003111CA" w:rsidTr="003111CA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111CA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3111CA" w:rsidTr="003111CA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111CA" w:rsidTr="003111CA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3111CA" w:rsidTr="003111CA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111CA" w:rsidTr="003111CA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111CA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CBB" w:rsidRPr="003111CA" w:rsidRDefault="00C23CB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Nuevas perspectivas en </w:t>
            </w:r>
            <w:r w:rsidR="003111CA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d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iseño </w:t>
            </w:r>
            <w:r w:rsidR="003111CA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c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urricular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3111C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SHLI05316</w:t>
            </w:r>
          </w:p>
        </w:tc>
      </w:tr>
      <w:tr w:rsidR="00813B97" w:rsidRPr="003111CA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111CA" w:rsidTr="003111CA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111C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111C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3111C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111C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3111CA" w:rsidTr="003111CA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C23CB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Cirila Cervera Delgado</w:t>
            </w:r>
          </w:p>
        </w:tc>
      </w:tr>
      <w:tr w:rsidR="00813B97" w:rsidRPr="003111CA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3111CA" w:rsidTr="003111CA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3111CA" w:rsidRDefault="00C23CB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3111CA" w:rsidRDefault="00C23CB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3111C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3111CA" w:rsidRDefault="00C23CB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111CA" w:rsidTr="003111CA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3111C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111CA" w:rsidRDefault="00C23CB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3111CA" w:rsidRDefault="00C23CB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111CA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111CA" w:rsidTr="003111CA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3111C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111CA" w:rsidRDefault="00C23CB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3111C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9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111CA" w:rsidRDefault="00C23CB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Teoría Curricular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111CA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111CA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3111CA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3111CA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Disciplinaria   (   ) Formativa   (    ) Metodológica</w:t>
            </w:r>
          </w:p>
        </w:tc>
      </w:tr>
      <w:tr w:rsidR="00813B97" w:rsidRPr="003111CA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3111C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 </w:t>
            </w:r>
            <w:r w:rsid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 Básica disciplinar  </w:t>
            </w:r>
            <w:r w:rsid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C23CBB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 Profundización     (    ) Complementaria  </w:t>
            </w:r>
          </w:p>
        </w:tc>
      </w:tr>
      <w:tr w:rsidR="00813B97" w:rsidRPr="003111CA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FF362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) Taller   (    ) Laboratorio   (  </w:t>
            </w:r>
            <w:r w:rsidR="00D05A47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Seminario</w:t>
            </w:r>
          </w:p>
        </w:tc>
      </w:tr>
      <w:tr w:rsidR="00813B97" w:rsidRPr="003111CA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111CA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 </w:t>
            </w:r>
            <w:r w:rsid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Recursable</w:t>
            </w:r>
            <w:r w:rsid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Optativa   </w:t>
            </w:r>
            <w:r w:rsid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C23CBB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  </w:t>
            </w:r>
            <w:r w:rsid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r w:rsidR="00C23CBB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Acreditable</w:t>
            </w:r>
          </w:p>
        </w:tc>
      </w:tr>
    </w:tbl>
    <w:p w:rsidR="0033142E" w:rsidRPr="003111CA" w:rsidRDefault="0033142E" w:rsidP="0033142E">
      <w:pPr>
        <w:spacing w:after="0" w:line="240" w:lineRule="auto"/>
        <w:rPr>
          <w:sz w:val="20"/>
          <w:szCs w:val="20"/>
        </w:rPr>
      </w:pPr>
    </w:p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813B97" w:rsidRPr="003111CA" w:rsidTr="0033142E">
        <w:trPr>
          <w:tblHeader/>
          <w:jc w:val="center"/>
        </w:trPr>
        <w:tc>
          <w:tcPr>
            <w:tcW w:w="5000" w:type="pct"/>
            <w:shd w:val="clear" w:color="auto" w:fill="5B9BD5" w:themeFill="accent5"/>
            <w:vAlign w:val="center"/>
          </w:tcPr>
          <w:p w:rsidR="00813B97" w:rsidRPr="003111CA" w:rsidRDefault="00B06900" w:rsidP="00B06900">
            <w:pPr>
              <w:spacing w:after="0" w:line="360" w:lineRule="auto"/>
              <w:jc w:val="center"/>
              <w:rPr>
                <w:rFonts w:cs="Times New Roman"/>
                <w:b/>
                <w:color w:val="FFFFFF" w:themeColor="background1"/>
                <w:sz w:val="20"/>
                <w:szCs w:val="20"/>
                <w:lang w:eastAsia="en-US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3111CA" w:rsidTr="00D13567">
        <w:trPr>
          <w:trHeight w:val="230"/>
          <w:jc w:val="center"/>
        </w:trPr>
        <w:tc>
          <w:tcPr>
            <w:tcW w:w="5000" w:type="pct"/>
            <w:vAlign w:val="center"/>
          </w:tcPr>
          <w:p w:rsidR="00C23CBB" w:rsidRPr="003111CA" w:rsidRDefault="00C23CBB" w:rsidP="003111CA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coordinación de</w:t>
            </w:r>
            <w:r w:rsidR="00813B97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esta unidad se sugiere la participación de profesionales con estudios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mínimos de licenciatura en educación o áreas afines, q</w:t>
            </w:r>
            <w:r w:rsidR="0033142E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uienes,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preferencia</w:t>
            </w:r>
            <w:r w:rsidR="0033142E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,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cuenten con posgrado y muestren interés en el estudio de la educación. Es recomendable que cuenten con experiencia y participación en equipos de trabajo orientados al desarrollo curricular.</w:t>
            </w:r>
          </w:p>
          <w:p w:rsidR="00C23CBB" w:rsidRPr="003111CA" w:rsidRDefault="00C23CBB" w:rsidP="003111CA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se distingan por poseer las siguientes competencias que indica el Modelo Educativo de la Universidad de Guanajuato:</w:t>
            </w:r>
          </w:p>
          <w:p w:rsidR="00515AFB" w:rsidRPr="003111CA" w:rsidRDefault="00515AFB" w:rsidP="003111CA">
            <w:pPr>
              <w:pStyle w:val="Prrafodelista"/>
              <w:numPr>
                <w:ilvl w:val="0"/>
                <w:numId w:val="10"/>
              </w:numPr>
              <w:spacing w:before="240" w:line="240" w:lineRule="auto"/>
              <w:jc w:val="both"/>
              <w:rPr>
                <w:rStyle w:val="A4"/>
              </w:rPr>
            </w:pPr>
            <w:r w:rsidRPr="003111CA">
              <w:rPr>
                <w:rStyle w:val="A4"/>
              </w:rPr>
              <w:t>Sustenta una postura personal sobre temas de interés y relevancia general, considerando otros puntos de vista de manera crítica, respetuosa y reflexiva.</w:t>
            </w:r>
          </w:p>
          <w:p w:rsidR="00C31C61" w:rsidRPr="003111CA" w:rsidRDefault="00C31C61" w:rsidP="003111CA">
            <w:pPr>
              <w:pStyle w:val="Prrafodelista"/>
              <w:numPr>
                <w:ilvl w:val="0"/>
                <w:numId w:val="10"/>
              </w:numPr>
              <w:spacing w:before="240" w:line="240" w:lineRule="auto"/>
              <w:jc w:val="both"/>
              <w:rPr>
                <w:rFonts w:cs="Gandhi Sans"/>
                <w:color w:val="000000"/>
                <w:sz w:val="20"/>
                <w:szCs w:val="20"/>
              </w:rPr>
            </w:pPr>
            <w:r w:rsidRPr="003111CA">
              <w:rPr>
                <w:rStyle w:val="A4"/>
              </w:rPr>
              <w:t>Mantiene una actitud respetuosa hacia la interculturalidad y la diversidad para crear espacios de convivencia humana, académica y profesional y construir sociedades incluyentes.</w:t>
            </w:r>
          </w:p>
          <w:p w:rsidR="00C31C61" w:rsidRPr="003111CA" w:rsidRDefault="00C31C61" w:rsidP="003111CA">
            <w:pPr>
              <w:pStyle w:val="Prrafodelista"/>
              <w:numPr>
                <w:ilvl w:val="0"/>
                <w:numId w:val="10"/>
              </w:numPr>
              <w:spacing w:before="240" w:line="240" w:lineRule="auto"/>
              <w:jc w:val="both"/>
              <w:rPr>
                <w:rFonts w:cs="Gandhi Sans"/>
                <w:color w:val="000000"/>
                <w:sz w:val="20"/>
                <w:szCs w:val="20"/>
              </w:rPr>
            </w:pPr>
            <w:r w:rsidRPr="003111CA">
              <w:rPr>
                <w:rStyle w:val="A4"/>
              </w:rPr>
              <w:t>Se vincula con el entorno e involucra al estudiante en actividades de familiarización e interacción en su campo de formación, sea mediante la extensión o la investigación para la formación de su perfil profesional.</w:t>
            </w:r>
          </w:p>
          <w:p w:rsidR="00996B9F" w:rsidRPr="003111CA" w:rsidRDefault="00C31C61" w:rsidP="003111CA">
            <w:pPr>
              <w:spacing w:before="240"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3111CA">
              <w:rPr>
                <w:rStyle w:val="A4"/>
              </w:rPr>
              <w:lastRenderedPageBreak/>
              <w:t>Es un experto en la disciplina o disciplinas afines a los programas educativos en los que participa, contribuyendo a una formación integral del estudiante, de vanguardia, pertinente, útil para la vida y el trabajo profesional.</w:t>
            </w:r>
          </w:p>
        </w:tc>
      </w:tr>
    </w:tbl>
    <w:p w:rsidR="0033142E" w:rsidRPr="003111CA" w:rsidRDefault="0033142E" w:rsidP="0033142E">
      <w:pPr>
        <w:spacing w:after="0" w:line="240" w:lineRule="auto"/>
        <w:rPr>
          <w:sz w:val="20"/>
          <w:szCs w:val="20"/>
        </w:rPr>
      </w:pPr>
    </w:p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439"/>
      </w:tblGrid>
      <w:tr w:rsidR="00813B97" w:rsidRPr="003111CA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3111C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3111CA" w:rsidRPr="003111CA" w:rsidTr="00D13567">
        <w:trPr>
          <w:jc w:val="center"/>
        </w:trPr>
        <w:tc>
          <w:tcPr>
            <w:tcW w:w="5000" w:type="pct"/>
            <w:gridSpan w:val="2"/>
          </w:tcPr>
          <w:p w:rsidR="003111CA" w:rsidRPr="00205ECF" w:rsidRDefault="003111CA" w:rsidP="003111CA">
            <w:pPr>
              <w:widowControl w:val="0"/>
              <w:autoSpaceDE w:val="0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 xml:space="preserve">La Unidad de Aprendizaje incide de manera directa en la formación de las </w:t>
            </w:r>
            <w:r>
              <w:rPr>
                <w:rFonts w:cs="Arial"/>
                <w:sz w:val="20"/>
                <w:szCs w:val="20"/>
              </w:rPr>
              <w:t xml:space="preserve">siguientes </w:t>
            </w:r>
            <w:r w:rsidRPr="00205ECF">
              <w:rPr>
                <w:rFonts w:cs="Arial"/>
                <w:sz w:val="20"/>
                <w:szCs w:val="20"/>
              </w:rPr>
              <w:t>competencias genéricas:</w:t>
            </w:r>
          </w:p>
          <w:p w:rsidR="003111CA" w:rsidRPr="009A5264" w:rsidRDefault="003111CA" w:rsidP="00FF362D">
            <w:pPr>
              <w:spacing w:after="0" w:line="276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3111CA" w:rsidRPr="009A5264" w:rsidRDefault="003111CA" w:rsidP="00FF362D">
            <w:pPr>
              <w:spacing w:after="0" w:line="276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3111CA" w:rsidRPr="009A5264" w:rsidRDefault="003111CA" w:rsidP="00FF362D">
            <w:pPr>
              <w:spacing w:after="0" w:line="276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 construir espacios incluyentes y sustentables.</w:t>
            </w:r>
          </w:p>
          <w:p w:rsidR="003111CA" w:rsidRPr="009A5264" w:rsidRDefault="003111CA" w:rsidP="00FF362D">
            <w:pPr>
              <w:spacing w:line="276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CG10.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un liderazgo innovador y competitivo en la disciplina o campo de su elección que le permita aprender continuamente sobre su persona, nuevos conceptos, proceso y metodologías que le permitan aportar alternativas de solución y tomar decisiones con integridad moral, compromiso social y enfoque de sustentabilidad.</w:t>
            </w:r>
          </w:p>
          <w:p w:rsidR="003111CA" w:rsidRDefault="003111CA" w:rsidP="00FF362D">
            <w:pPr>
              <w:widowControl w:val="0"/>
              <w:autoSpaceDE w:val="0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Además, contribuye a las competencias específicas del programa:</w:t>
            </w:r>
          </w:p>
          <w:p w:rsidR="003111CA" w:rsidRPr="009A5264" w:rsidRDefault="003111CA" w:rsidP="003111CA">
            <w:pPr>
              <w:spacing w:before="240" w:after="0" w:line="276" w:lineRule="auto"/>
              <w:ind w:left="580" w:hanging="580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3111CA" w:rsidRPr="009A5264" w:rsidRDefault="003111CA" w:rsidP="003111CA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CE2.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3111CA" w:rsidRPr="009A5264" w:rsidRDefault="003111CA" w:rsidP="003111CA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CE4.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3111CA" w:rsidRPr="009A5264" w:rsidRDefault="003111CA" w:rsidP="003111CA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3111CA" w:rsidRPr="009A5264" w:rsidRDefault="003111CA" w:rsidP="003111CA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3111CA" w:rsidRPr="00F6078C" w:rsidRDefault="003111CA" w:rsidP="003111CA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CE13. </w:t>
            </w:r>
            <w:r w:rsidRPr="00F6078C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3111CA" w:rsidRPr="00205ECF" w:rsidRDefault="003111CA" w:rsidP="003111CA">
            <w:pPr>
              <w:widowControl w:val="0"/>
              <w:autoSpaceDE w:val="0"/>
              <w:spacing w:before="240" w:after="0" w:line="276" w:lineRule="auto"/>
              <w:ind w:left="580" w:right="-20" w:hanging="580"/>
              <w:contextualSpacing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CE15.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 críticamente las políticas educativas.</w:t>
            </w:r>
          </w:p>
          <w:p w:rsidR="003111CA" w:rsidRPr="009A5264" w:rsidRDefault="003111CA" w:rsidP="003111CA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3111CA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3111C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CONTEXTUA</w:t>
            </w:r>
            <w:r w:rsidR="00B06900"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3111CA" w:rsidTr="00D13567">
        <w:trPr>
          <w:jc w:val="center"/>
        </w:trPr>
        <w:tc>
          <w:tcPr>
            <w:tcW w:w="5000" w:type="pct"/>
            <w:gridSpan w:val="2"/>
          </w:tcPr>
          <w:p w:rsidR="00813B97" w:rsidRPr="003111CA" w:rsidRDefault="00C31C61" w:rsidP="00FF362D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  <w:vertAlign w:val="superscript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l</w:t>
            </w:r>
            <w:r w:rsidR="00813B97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 unidad de aprendizaje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“Nuevas perspectivas en Diseño Curricular” </w:t>
            </w:r>
            <w:r w:rsidR="00813B97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reside en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el aporte que hace al estudio del campo específico para el logro del perfil de egreso de aquellas/os estudiantes con interés e inclinación académica por el d</w:t>
            </w:r>
            <w:r w:rsidR="0080380F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esarrollo curricular.</w:t>
            </w:r>
          </w:p>
          <w:p w:rsidR="00813B97" w:rsidRPr="003111CA" w:rsidRDefault="00813B97" w:rsidP="00FF362D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</w:t>
            </w:r>
            <w:r w:rsidR="0080380F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y los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estudiante</w:t>
            </w:r>
            <w:r w:rsidR="0080380F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s,</w:t>
            </w:r>
            <w:r w:rsidR="0033142E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herramientas para</w:t>
            </w:r>
            <w:r w:rsidR="0080380F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profundizar en los </w:t>
            </w:r>
            <w:r w:rsidR="0033142E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más recientes </w:t>
            </w:r>
            <w:r w:rsidR="0080380F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aportes que se vayan gestando en el área, a nivel teórico y metodológico.</w:t>
            </w:r>
          </w:p>
          <w:p w:rsidR="00996B9F" w:rsidRPr="003111CA" w:rsidRDefault="0080380F" w:rsidP="00FF362D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recomienda que se </w:t>
            </w:r>
            <w:r w:rsidR="0033142E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estudie 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una vez que se hayan </w:t>
            </w:r>
            <w:r w:rsidR="0033142E"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>cursado</w:t>
            </w:r>
            <w:r w:rsidRPr="003111C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aprobado las unidades de aprendizaje de Teoría y Evaluación Curricular, con las que se relaciona de manera directa y es un complemento ideal para la unidad de aprendizaje de Taller de Diseño Curricular.</w:t>
            </w:r>
          </w:p>
        </w:tc>
      </w:tr>
      <w:tr w:rsidR="00813B97" w:rsidRPr="003111CA" w:rsidTr="00D13567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3111C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COMPETENC</w:t>
            </w:r>
            <w:r w:rsidR="00B06900"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3111CA" w:rsidTr="00D13567">
        <w:trPr>
          <w:jc w:val="center"/>
        </w:trPr>
        <w:tc>
          <w:tcPr>
            <w:tcW w:w="5000" w:type="pct"/>
            <w:gridSpan w:val="2"/>
            <w:vAlign w:val="center"/>
          </w:tcPr>
          <w:p w:rsidR="0080380F" w:rsidRPr="003111CA" w:rsidRDefault="001A5D90" w:rsidP="00FF362D">
            <w:pPr>
              <w:pStyle w:val="Prrafodelista"/>
              <w:numPr>
                <w:ilvl w:val="0"/>
                <w:numId w:val="2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44125C" w:rsidRPr="003111CA" w:rsidRDefault="0044125C" w:rsidP="00FF362D">
            <w:pPr>
              <w:pStyle w:val="Prrafodelista"/>
              <w:numPr>
                <w:ilvl w:val="0"/>
                <w:numId w:val="2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  <w:lang w:eastAsia="es-MX"/>
              </w:rPr>
              <w:t>Crea y evalúa ambientes favorables y desafiantes para el aprendizaje.</w:t>
            </w:r>
          </w:p>
          <w:p w:rsidR="0044125C" w:rsidRPr="003111CA" w:rsidRDefault="0044125C" w:rsidP="00FF362D">
            <w:pPr>
              <w:pStyle w:val="Prrafodelista"/>
              <w:numPr>
                <w:ilvl w:val="0"/>
                <w:numId w:val="2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  <w:lang w:eastAsia="es-MX"/>
              </w:rPr>
              <w:t>Educa en valores, en formación ciudadana y en democracia.</w:t>
            </w:r>
          </w:p>
          <w:p w:rsidR="001A5D90" w:rsidRPr="003111CA" w:rsidRDefault="001A5D90" w:rsidP="00FF362D">
            <w:pPr>
              <w:pStyle w:val="Prrafodelista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lastRenderedPageBreak/>
              <w:t>Proyecta y desarrolla acciones educativas de carácter interdisciplinario.</w:t>
            </w:r>
          </w:p>
          <w:p w:rsidR="00F54DDF" w:rsidRPr="003111CA" w:rsidRDefault="001A5D90" w:rsidP="00FF362D">
            <w:pPr>
              <w:pStyle w:val="Prrafodelista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Conoce la teoría educativa y hace uso crítico de ella en diferentes contextos.</w:t>
            </w:r>
          </w:p>
        </w:tc>
      </w:tr>
      <w:tr w:rsidR="00813B97" w:rsidRPr="003111CA" w:rsidTr="00B06900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3111C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3111CA" w:rsidTr="00B06900">
        <w:trPr>
          <w:jc w:val="center"/>
        </w:trPr>
        <w:tc>
          <w:tcPr>
            <w:tcW w:w="5000" w:type="pct"/>
            <w:gridSpan w:val="2"/>
            <w:vAlign w:val="center"/>
          </w:tcPr>
          <w:p w:rsidR="00813B97" w:rsidRPr="003111CA" w:rsidRDefault="005D3151" w:rsidP="006F7859">
            <w:pPr>
              <w:spacing w:after="0" w:line="360" w:lineRule="auto"/>
              <w:rPr>
                <w:b/>
                <w:i/>
                <w:sz w:val="20"/>
                <w:szCs w:val="20"/>
              </w:rPr>
            </w:pPr>
            <w:r w:rsidRPr="003111CA">
              <w:rPr>
                <w:b/>
                <w:i/>
                <w:sz w:val="20"/>
                <w:szCs w:val="20"/>
              </w:rPr>
              <w:t>Unidad I</w:t>
            </w:r>
            <w:r w:rsidR="0033142E" w:rsidRPr="003111CA">
              <w:rPr>
                <w:b/>
                <w:i/>
                <w:sz w:val="20"/>
                <w:szCs w:val="20"/>
              </w:rPr>
              <w:t xml:space="preserve"> </w:t>
            </w:r>
            <w:r w:rsidRPr="003111CA">
              <w:rPr>
                <w:b/>
                <w:i/>
                <w:sz w:val="20"/>
                <w:szCs w:val="20"/>
              </w:rPr>
              <w:t xml:space="preserve">Racionalidad del </w:t>
            </w:r>
            <w:proofErr w:type="spellStart"/>
            <w:r w:rsidRPr="003111CA">
              <w:rPr>
                <w:b/>
                <w:i/>
                <w:sz w:val="20"/>
                <w:szCs w:val="20"/>
              </w:rPr>
              <w:t>curriculum</w:t>
            </w:r>
            <w:proofErr w:type="spellEnd"/>
            <w:r w:rsidRPr="003111CA">
              <w:rPr>
                <w:b/>
                <w:i/>
                <w:sz w:val="20"/>
                <w:szCs w:val="20"/>
              </w:rPr>
              <w:t xml:space="preserve"> en el contexto actual</w:t>
            </w:r>
          </w:p>
          <w:p w:rsidR="006E39C2" w:rsidRPr="003111CA" w:rsidRDefault="006E39C2" w:rsidP="006E39C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3111CA">
              <w:rPr>
                <w:sz w:val="20"/>
                <w:szCs w:val="20"/>
              </w:rPr>
              <w:t xml:space="preserve">Racionalidades clásicas del </w:t>
            </w:r>
            <w:proofErr w:type="spellStart"/>
            <w:r w:rsidRPr="003111CA">
              <w:rPr>
                <w:sz w:val="20"/>
                <w:szCs w:val="20"/>
              </w:rPr>
              <w:t>curriculum</w:t>
            </w:r>
            <w:proofErr w:type="spellEnd"/>
            <w:r w:rsidRPr="003111CA">
              <w:rPr>
                <w:sz w:val="20"/>
                <w:szCs w:val="20"/>
              </w:rPr>
              <w:t xml:space="preserve"> (tecnológica, práctica y crítica)</w:t>
            </w:r>
          </w:p>
          <w:p w:rsidR="006E39C2" w:rsidRPr="003111CA" w:rsidRDefault="006E39C2" w:rsidP="006E39C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3111CA">
              <w:rPr>
                <w:sz w:val="20"/>
                <w:szCs w:val="20"/>
              </w:rPr>
              <w:t xml:space="preserve">Racionalidad social del </w:t>
            </w:r>
            <w:proofErr w:type="spellStart"/>
            <w:r w:rsidRPr="003111CA">
              <w:rPr>
                <w:sz w:val="20"/>
                <w:szCs w:val="20"/>
              </w:rPr>
              <w:t>curriculum</w:t>
            </w:r>
            <w:proofErr w:type="spellEnd"/>
          </w:p>
          <w:p w:rsidR="006E39C2" w:rsidRPr="003111CA" w:rsidRDefault="006E39C2" w:rsidP="006E39C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3111CA">
              <w:rPr>
                <w:sz w:val="20"/>
                <w:szCs w:val="20"/>
              </w:rPr>
              <w:t xml:space="preserve">Pertinencia y rendimiento social del </w:t>
            </w:r>
            <w:proofErr w:type="spellStart"/>
            <w:r w:rsidRPr="003111CA">
              <w:rPr>
                <w:sz w:val="20"/>
                <w:szCs w:val="20"/>
              </w:rPr>
              <w:t>curriculum</w:t>
            </w:r>
            <w:proofErr w:type="spellEnd"/>
          </w:p>
          <w:p w:rsidR="0033142E" w:rsidRPr="003111CA" w:rsidRDefault="0033142E" w:rsidP="0033142E">
            <w:pPr>
              <w:pStyle w:val="Prrafodelista"/>
              <w:spacing w:after="0" w:line="240" w:lineRule="auto"/>
              <w:rPr>
                <w:sz w:val="20"/>
                <w:szCs w:val="20"/>
              </w:rPr>
            </w:pPr>
          </w:p>
          <w:p w:rsidR="005D3151" w:rsidRPr="003111CA" w:rsidRDefault="005D3151" w:rsidP="006F7859">
            <w:pPr>
              <w:spacing w:after="0" w:line="360" w:lineRule="auto"/>
              <w:rPr>
                <w:b/>
                <w:i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i/>
                <w:sz w:val="20"/>
                <w:szCs w:val="20"/>
              </w:rPr>
              <w:t>Unidad 2</w:t>
            </w:r>
            <w:r w:rsidR="0033142E" w:rsidRPr="003111CA">
              <w:rPr>
                <w:rFonts w:eastAsia="Times New Roman" w:cs="Arial"/>
                <w:b/>
                <w:i/>
                <w:sz w:val="20"/>
                <w:szCs w:val="20"/>
              </w:rPr>
              <w:t xml:space="preserve"> </w:t>
            </w:r>
            <w:r w:rsidRPr="003111CA">
              <w:rPr>
                <w:b/>
                <w:i/>
                <w:sz w:val="20"/>
                <w:szCs w:val="20"/>
              </w:rPr>
              <w:t xml:space="preserve">El </w:t>
            </w:r>
            <w:proofErr w:type="spellStart"/>
            <w:r w:rsidRPr="003111CA">
              <w:rPr>
                <w:b/>
                <w:i/>
                <w:sz w:val="20"/>
                <w:szCs w:val="20"/>
              </w:rPr>
              <w:t>curriculum</w:t>
            </w:r>
            <w:proofErr w:type="spellEnd"/>
            <w:r w:rsidRPr="003111CA">
              <w:rPr>
                <w:b/>
                <w:i/>
                <w:sz w:val="20"/>
                <w:szCs w:val="20"/>
              </w:rPr>
              <w:t xml:space="preserve"> en escenarios emergentes</w:t>
            </w:r>
          </w:p>
          <w:p w:rsidR="0033142E" w:rsidRPr="003111CA" w:rsidRDefault="0033142E" w:rsidP="0033142E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sz w:val="20"/>
                <w:szCs w:val="20"/>
              </w:rPr>
            </w:pPr>
            <w:r w:rsidRPr="003111CA">
              <w:rPr>
                <w:sz w:val="20"/>
                <w:szCs w:val="20"/>
              </w:rPr>
              <w:t>Curriculum y diversidad</w:t>
            </w:r>
          </w:p>
          <w:p w:rsidR="0033142E" w:rsidRPr="003111CA" w:rsidRDefault="0033142E" w:rsidP="0033142E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sz w:val="20"/>
                <w:szCs w:val="20"/>
              </w:rPr>
            </w:pPr>
            <w:r w:rsidRPr="003111CA">
              <w:rPr>
                <w:sz w:val="20"/>
                <w:szCs w:val="20"/>
              </w:rPr>
              <w:t xml:space="preserve">El </w:t>
            </w:r>
            <w:proofErr w:type="spellStart"/>
            <w:r w:rsidRPr="003111CA">
              <w:rPr>
                <w:sz w:val="20"/>
                <w:szCs w:val="20"/>
              </w:rPr>
              <w:t>curriculum</w:t>
            </w:r>
            <w:proofErr w:type="spellEnd"/>
            <w:r w:rsidRPr="003111CA">
              <w:rPr>
                <w:sz w:val="20"/>
                <w:szCs w:val="20"/>
              </w:rPr>
              <w:t xml:space="preserve"> en contextos líquid</w:t>
            </w:r>
            <w:r w:rsidR="00114355">
              <w:rPr>
                <w:sz w:val="20"/>
                <w:szCs w:val="20"/>
              </w:rPr>
              <w:t>o</w:t>
            </w:r>
            <w:r w:rsidRPr="003111CA">
              <w:rPr>
                <w:sz w:val="20"/>
                <w:szCs w:val="20"/>
              </w:rPr>
              <w:t>s</w:t>
            </w:r>
          </w:p>
          <w:p w:rsidR="0033142E" w:rsidRPr="003111CA" w:rsidRDefault="0033142E" w:rsidP="0033142E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sz w:val="20"/>
                <w:szCs w:val="20"/>
              </w:rPr>
            </w:pPr>
            <w:r w:rsidRPr="003111CA">
              <w:rPr>
                <w:sz w:val="20"/>
                <w:szCs w:val="20"/>
              </w:rPr>
              <w:t>Propuestas curriculares en sociedades inciertas y complejas</w:t>
            </w:r>
          </w:p>
          <w:p w:rsidR="005D3151" w:rsidRPr="003111CA" w:rsidRDefault="005D3151" w:rsidP="006F7859">
            <w:pPr>
              <w:spacing w:after="0" w:line="360" w:lineRule="auto"/>
              <w:rPr>
                <w:b/>
                <w:i/>
                <w:sz w:val="20"/>
                <w:szCs w:val="20"/>
              </w:rPr>
            </w:pPr>
            <w:r w:rsidRPr="003111CA">
              <w:rPr>
                <w:b/>
                <w:i/>
                <w:sz w:val="20"/>
                <w:szCs w:val="20"/>
              </w:rPr>
              <w:t>Unidad 3</w:t>
            </w:r>
            <w:r w:rsidR="0033142E" w:rsidRPr="003111CA">
              <w:rPr>
                <w:b/>
                <w:i/>
                <w:sz w:val="20"/>
                <w:szCs w:val="20"/>
              </w:rPr>
              <w:t xml:space="preserve"> </w:t>
            </w:r>
            <w:r w:rsidRPr="003111CA">
              <w:rPr>
                <w:b/>
                <w:i/>
                <w:sz w:val="20"/>
                <w:szCs w:val="20"/>
              </w:rPr>
              <w:t>Alternativas para el desarrollo curricular y su orientación en la innovación educativa.</w:t>
            </w:r>
          </w:p>
          <w:p w:rsidR="005D3151" w:rsidRPr="003111CA" w:rsidRDefault="0033142E" w:rsidP="0033142E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 xml:space="preserve">Aportes de la educación y el </w:t>
            </w:r>
            <w:proofErr w:type="spellStart"/>
            <w:r w:rsidRPr="003111CA">
              <w:rPr>
                <w:rFonts w:eastAsia="Times New Roman" w:cs="Arial"/>
                <w:sz w:val="20"/>
                <w:szCs w:val="20"/>
              </w:rPr>
              <w:t>curriculum</w:t>
            </w:r>
            <w:proofErr w:type="spellEnd"/>
            <w:r w:rsidRPr="003111CA">
              <w:rPr>
                <w:rFonts w:eastAsia="Times New Roman" w:cs="Arial"/>
                <w:sz w:val="20"/>
                <w:szCs w:val="20"/>
              </w:rPr>
              <w:t xml:space="preserve"> a la justicia social</w:t>
            </w:r>
          </w:p>
          <w:p w:rsidR="0033142E" w:rsidRPr="003111CA" w:rsidRDefault="0033142E" w:rsidP="0033142E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Innovaciones curriculares para la formación de la ciudadanía, ¿es posible?</w:t>
            </w:r>
          </w:p>
          <w:p w:rsidR="0033142E" w:rsidRPr="003111CA" w:rsidRDefault="0033142E" w:rsidP="0033142E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 xml:space="preserve">Educación, innovación educativa y </w:t>
            </w:r>
            <w:proofErr w:type="spellStart"/>
            <w:r w:rsidRPr="003111CA">
              <w:rPr>
                <w:rFonts w:eastAsia="Times New Roman" w:cs="Arial"/>
                <w:sz w:val="20"/>
                <w:szCs w:val="20"/>
              </w:rPr>
              <w:t>curriculum</w:t>
            </w:r>
            <w:proofErr w:type="spellEnd"/>
            <w:r w:rsidRPr="003111CA">
              <w:rPr>
                <w:rFonts w:eastAsia="Times New Roman" w:cs="Arial"/>
                <w:sz w:val="20"/>
                <w:szCs w:val="20"/>
              </w:rPr>
              <w:t>, una construcción colectiva y permanente.</w:t>
            </w:r>
            <w:bookmarkStart w:id="1" w:name="_GoBack"/>
            <w:bookmarkEnd w:id="1"/>
          </w:p>
        </w:tc>
      </w:tr>
      <w:tr w:rsidR="00813B97" w:rsidRPr="003111CA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3111C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136ADF"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SUGERIDA</w:t>
            </w:r>
            <w:r w:rsidR="00B06900"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3111C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RECURSOS MA</w:t>
            </w:r>
            <w:r w:rsidR="006D46E9"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3111CA" w:rsidTr="00136ADF">
        <w:trPr>
          <w:jc w:val="center"/>
        </w:trPr>
        <w:tc>
          <w:tcPr>
            <w:tcW w:w="2613" w:type="pct"/>
            <w:vAlign w:val="center"/>
          </w:tcPr>
          <w:p w:rsidR="00813B97" w:rsidRPr="003111CA" w:rsidRDefault="00136ADF" w:rsidP="00FF362D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Las principales actividades de la Unidad de Aprendizaje que se sugieren, a lo largo de todo el curso</w:t>
            </w:r>
            <w:r w:rsidR="0066726B" w:rsidRPr="003111CA">
              <w:rPr>
                <w:rFonts w:eastAsia="Times New Roman" w:cs="Arial"/>
                <w:sz w:val="20"/>
                <w:szCs w:val="20"/>
              </w:rPr>
              <w:t>,</w:t>
            </w:r>
            <w:r w:rsidRPr="003111CA">
              <w:rPr>
                <w:rFonts w:eastAsia="Times New Roman" w:cs="Arial"/>
                <w:sz w:val="20"/>
                <w:szCs w:val="20"/>
              </w:rPr>
              <w:t xml:space="preserve"> son:</w:t>
            </w:r>
          </w:p>
          <w:p w:rsidR="00136ADF" w:rsidRPr="003111CA" w:rsidRDefault="00136ADF" w:rsidP="00FF362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Lectura crítica de autoras/es de diversos contextos y filiaciones teóricas.</w:t>
            </w:r>
          </w:p>
          <w:p w:rsidR="00136ADF" w:rsidRPr="003111CA" w:rsidRDefault="00136ADF" w:rsidP="00FF362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Discusión de los resultados de la lectura en sesión plenaria.</w:t>
            </w:r>
          </w:p>
          <w:p w:rsidR="00136ADF" w:rsidRPr="003111CA" w:rsidRDefault="00136ADF" w:rsidP="00FF362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Elaboración y exposición de trabajos académicos con carácter de publicables.</w:t>
            </w:r>
          </w:p>
          <w:p w:rsidR="00136ADF" w:rsidRPr="003111CA" w:rsidRDefault="00136ADF" w:rsidP="00FF362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Diseño de proyectos de diseño curricular con enfoque innovador.</w:t>
            </w:r>
          </w:p>
        </w:tc>
        <w:tc>
          <w:tcPr>
            <w:tcW w:w="2387" w:type="pct"/>
            <w:vAlign w:val="center"/>
          </w:tcPr>
          <w:p w:rsidR="00813B97" w:rsidRPr="00FF362D" w:rsidRDefault="0066726B" w:rsidP="00FF362D">
            <w:pPr>
              <w:pStyle w:val="Prrafodelista"/>
              <w:numPr>
                <w:ilvl w:val="0"/>
                <w:numId w:val="1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F362D">
              <w:rPr>
                <w:rFonts w:eastAsia="Times New Roman" w:cs="Arial"/>
                <w:sz w:val="20"/>
                <w:szCs w:val="20"/>
              </w:rPr>
              <w:t>Fuentes directas de consulta.</w:t>
            </w:r>
          </w:p>
          <w:p w:rsidR="0066726B" w:rsidRPr="00FF362D" w:rsidRDefault="0066726B" w:rsidP="00FF362D">
            <w:pPr>
              <w:pStyle w:val="Prrafodelista"/>
              <w:numPr>
                <w:ilvl w:val="0"/>
                <w:numId w:val="1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F362D">
              <w:rPr>
                <w:rFonts w:eastAsia="Times New Roman" w:cs="Arial"/>
                <w:sz w:val="20"/>
                <w:szCs w:val="20"/>
              </w:rPr>
              <w:t>Publicaciones periódicas.</w:t>
            </w:r>
          </w:p>
          <w:p w:rsidR="0066726B" w:rsidRPr="00FF362D" w:rsidRDefault="0066726B" w:rsidP="00FF362D">
            <w:pPr>
              <w:pStyle w:val="Prrafodelista"/>
              <w:numPr>
                <w:ilvl w:val="0"/>
                <w:numId w:val="1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F362D">
              <w:rPr>
                <w:rFonts w:eastAsia="Times New Roman" w:cs="Arial"/>
                <w:sz w:val="20"/>
                <w:szCs w:val="20"/>
              </w:rPr>
              <w:t>Proyector.</w:t>
            </w:r>
          </w:p>
        </w:tc>
      </w:tr>
      <w:tr w:rsidR="00813B97" w:rsidRPr="003111CA" w:rsidTr="00B06900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3111C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PRODUCTOS O EVID</w:t>
            </w:r>
            <w:r w:rsidR="00B06900"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3111CA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3111CA" w:rsidTr="00D13567">
        <w:trPr>
          <w:jc w:val="center"/>
        </w:trPr>
        <w:tc>
          <w:tcPr>
            <w:tcW w:w="2613" w:type="pct"/>
          </w:tcPr>
          <w:p w:rsidR="00813B97" w:rsidRPr="003111CA" w:rsidRDefault="0066726B" w:rsidP="0066726B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Trabajos académicos con carácter de publicables (ponencia, ensayo, artículo), elaborados de forma individual y colectiva.</w:t>
            </w:r>
          </w:p>
          <w:p w:rsidR="0066726B" w:rsidRPr="003111CA" w:rsidRDefault="0066726B" w:rsidP="0066726B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Proyecto de diseño curricular elaborado en equipo.</w:t>
            </w:r>
          </w:p>
        </w:tc>
        <w:tc>
          <w:tcPr>
            <w:tcW w:w="2387" w:type="pct"/>
          </w:tcPr>
          <w:p w:rsidR="00DA3D61" w:rsidRPr="003111CA" w:rsidRDefault="00DA3D61" w:rsidP="00FF362D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En apego al carácter de esta Unidad de Aprendizaje y en el marco del Modelo Educativo de la Universidad de Guanajuato, la evaluación se concibe como un proceso continuo y permanente. Tiene las características de ser formativa, por los insumos que proporciona para realimentar el aprendizaje y todo el sistema educativo, esto es, se convierte en una evaluación de impacto; y es sumativa, por cuanto se realiza a lo largo de todo el periodo lectivo, valorando los logros de cata etapa.</w:t>
            </w:r>
          </w:p>
          <w:p w:rsidR="00813B97" w:rsidRPr="003111CA" w:rsidRDefault="00DA3D61" w:rsidP="00FF362D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3111CA">
              <w:rPr>
                <w:rFonts w:eastAsia="Times New Roman" w:cs="Arial"/>
                <w:sz w:val="20"/>
                <w:szCs w:val="20"/>
              </w:rPr>
              <w:t>Así pues, la evaluación será continua y sistemática, con una revisión colectiva al término de cada unidad de aprendizaje: y s</w:t>
            </w:r>
            <w:r w:rsidR="0066726B" w:rsidRPr="003111CA">
              <w:rPr>
                <w:rFonts w:eastAsia="Times New Roman" w:cs="Arial"/>
                <w:sz w:val="20"/>
                <w:szCs w:val="20"/>
              </w:rPr>
              <w:t>erá plural, al aplicar recursos y técnicas que propongan los mismos participantes del curso.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3111CA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3111CA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3111CA" w:rsidTr="00996B9F">
        <w:tc>
          <w:tcPr>
            <w:tcW w:w="2607" w:type="pct"/>
            <w:shd w:val="clear" w:color="auto" w:fill="5B9BD5" w:themeFill="accent5"/>
          </w:tcPr>
          <w:p w:rsidR="00813B97" w:rsidRPr="003111CA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lastRenderedPageBreak/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3111CA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3111CA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114355" w:rsidTr="00D13567">
        <w:tc>
          <w:tcPr>
            <w:tcW w:w="2607" w:type="pct"/>
          </w:tcPr>
          <w:p w:rsidR="00ED6C44" w:rsidRPr="003111CA" w:rsidRDefault="00ED6C44" w:rsidP="00ED6C44">
            <w:pPr>
              <w:spacing w:line="240" w:lineRule="auto"/>
              <w:ind w:left="709" w:hanging="709"/>
              <w:jc w:val="both"/>
              <w:rPr>
                <w:rFonts w:cs="Times New Roman"/>
                <w:sz w:val="20"/>
                <w:szCs w:val="20"/>
              </w:rPr>
            </w:pPr>
            <w:r w:rsidRPr="003111CA">
              <w:rPr>
                <w:rFonts w:cs="Times New Roman"/>
                <w:sz w:val="20"/>
                <w:szCs w:val="20"/>
              </w:rPr>
              <w:t xml:space="preserve">Bauman, Zygmunt (2013) </w:t>
            </w:r>
            <w:r w:rsidRPr="003111CA">
              <w:rPr>
                <w:rFonts w:cs="Times New Roman"/>
                <w:i/>
                <w:sz w:val="20"/>
                <w:szCs w:val="20"/>
              </w:rPr>
              <w:t>Miedo líquido. La sociedad contemporánea y sus temores</w:t>
            </w:r>
            <w:r w:rsidRPr="003111CA">
              <w:rPr>
                <w:rFonts w:cs="Times New Roman"/>
                <w:sz w:val="20"/>
                <w:szCs w:val="20"/>
              </w:rPr>
              <w:t xml:space="preserve">. Ediciones Culturales Paidós: </w:t>
            </w:r>
            <w:proofErr w:type="spellStart"/>
            <w:r w:rsidRPr="003111CA">
              <w:rPr>
                <w:rFonts w:cs="Times New Roman"/>
                <w:sz w:val="20"/>
                <w:szCs w:val="20"/>
              </w:rPr>
              <w:t>Mexico</w:t>
            </w:r>
            <w:proofErr w:type="spellEnd"/>
            <w:r w:rsidRPr="003111CA">
              <w:rPr>
                <w:rFonts w:cs="Times New Roman"/>
                <w:sz w:val="20"/>
                <w:szCs w:val="20"/>
              </w:rPr>
              <w:t>.</w:t>
            </w:r>
          </w:p>
          <w:p w:rsidR="00ED6C44" w:rsidRPr="003111CA" w:rsidRDefault="00ED6C44" w:rsidP="00ED6C44">
            <w:pPr>
              <w:spacing w:line="240" w:lineRule="auto"/>
              <w:ind w:left="709" w:hanging="709"/>
              <w:jc w:val="both"/>
              <w:rPr>
                <w:rFonts w:cs="Times New Roman"/>
                <w:sz w:val="20"/>
                <w:szCs w:val="20"/>
              </w:rPr>
            </w:pPr>
            <w:r w:rsidRPr="003111CA">
              <w:rPr>
                <w:rFonts w:cs="Times New Roman"/>
                <w:sz w:val="20"/>
                <w:szCs w:val="20"/>
              </w:rPr>
              <w:t xml:space="preserve">Bauman, Zygmunt (2003) </w:t>
            </w:r>
            <w:r w:rsidRPr="003111CA">
              <w:rPr>
                <w:rFonts w:cs="Times New Roman"/>
                <w:i/>
                <w:sz w:val="20"/>
                <w:szCs w:val="20"/>
              </w:rPr>
              <w:t>Modernidad líquida.</w:t>
            </w:r>
            <w:r w:rsidRPr="003111CA">
              <w:rPr>
                <w:rFonts w:cs="Times New Roman"/>
                <w:sz w:val="20"/>
                <w:szCs w:val="20"/>
              </w:rPr>
              <w:t xml:space="preserve"> Fondo de Cultura Económica: México.</w:t>
            </w:r>
          </w:p>
          <w:p w:rsidR="00ED6C44" w:rsidRPr="003111CA" w:rsidRDefault="00ED6C44" w:rsidP="00ED6C44">
            <w:pPr>
              <w:spacing w:line="240" w:lineRule="auto"/>
              <w:ind w:left="709" w:hanging="709"/>
              <w:rPr>
                <w:rFonts w:cs="Times New Roman"/>
                <w:sz w:val="20"/>
                <w:szCs w:val="20"/>
              </w:rPr>
            </w:pPr>
            <w:r w:rsidRPr="003111CA">
              <w:rPr>
                <w:rFonts w:cs="Times New Roman"/>
                <w:sz w:val="20"/>
                <w:szCs w:val="20"/>
              </w:rPr>
              <w:t xml:space="preserve">Bauman, Zygmunt (2013) </w:t>
            </w:r>
            <w:r w:rsidRPr="003111CA">
              <w:rPr>
                <w:rFonts w:cs="Times New Roman"/>
                <w:i/>
                <w:sz w:val="20"/>
                <w:szCs w:val="20"/>
              </w:rPr>
              <w:t>Vida líquida.</w:t>
            </w:r>
            <w:r w:rsidRPr="003111CA">
              <w:rPr>
                <w:rFonts w:cs="Times New Roman"/>
                <w:sz w:val="20"/>
                <w:szCs w:val="20"/>
              </w:rPr>
              <w:t xml:space="preserve"> Ediciones Culturales Paidós: México.</w:t>
            </w:r>
          </w:p>
          <w:p w:rsidR="00ED6C44" w:rsidRPr="003111CA" w:rsidRDefault="00ED6C44" w:rsidP="00ED6C44">
            <w:pPr>
              <w:spacing w:line="240" w:lineRule="auto"/>
              <w:ind w:left="709" w:hanging="709"/>
              <w:rPr>
                <w:sz w:val="20"/>
                <w:szCs w:val="20"/>
                <w:lang w:val="es-ES"/>
              </w:rPr>
            </w:pPr>
            <w:r w:rsidRPr="003111CA">
              <w:rPr>
                <w:sz w:val="20"/>
                <w:szCs w:val="20"/>
              </w:rPr>
              <w:t xml:space="preserve">Beyer, Landon E. y Liston, Daniel P. (2001) </w:t>
            </w:r>
            <w:r w:rsidRPr="003111CA">
              <w:rPr>
                <w:i/>
                <w:iCs/>
                <w:sz w:val="20"/>
                <w:szCs w:val="20"/>
                <w:lang w:val="es-ES"/>
              </w:rPr>
              <w:t>El currículo en conflicto.</w:t>
            </w:r>
            <w:r w:rsidRPr="003111CA">
              <w:rPr>
                <w:sz w:val="20"/>
                <w:szCs w:val="20"/>
                <w:lang w:val="es-ES"/>
              </w:rPr>
              <w:t xml:space="preserve"> Akal: España.</w:t>
            </w:r>
          </w:p>
          <w:p w:rsidR="00ED6C44" w:rsidRPr="003111CA" w:rsidRDefault="00ED6C44" w:rsidP="00ED6C44">
            <w:pPr>
              <w:spacing w:line="240" w:lineRule="auto"/>
              <w:ind w:left="709" w:hanging="709"/>
              <w:rPr>
                <w:sz w:val="20"/>
                <w:szCs w:val="20"/>
              </w:rPr>
            </w:pPr>
            <w:r w:rsidRPr="003111CA">
              <w:rPr>
                <w:sz w:val="20"/>
                <w:szCs w:val="20"/>
              </w:rPr>
              <w:t xml:space="preserve">Díaz-Barriga Casales, Ángel (1994) </w:t>
            </w:r>
            <w:r w:rsidRPr="003111CA">
              <w:rPr>
                <w:i/>
                <w:iCs/>
                <w:sz w:val="20"/>
                <w:szCs w:val="20"/>
              </w:rPr>
              <w:t>El currículo escolar. Surgimiento y perspectivas.</w:t>
            </w:r>
            <w:r w:rsidRPr="003111CA">
              <w:rPr>
                <w:sz w:val="20"/>
                <w:szCs w:val="20"/>
              </w:rPr>
              <w:t xml:space="preserve"> Argentina: REI/IDEAS/AIQUE.</w:t>
            </w:r>
          </w:p>
          <w:p w:rsidR="00ED6C44" w:rsidRPr="003111CA" w:rsidRDefault="00ED6C44" w:rsidP="00ED6C44">
            <w:pPr>
              <w:spacing w:line="240" w:lineRule="auto"/>
              <w:ind w:left="709" w:hanging="709"/>
              <w:jc w:val="both"/>
              <w:rPr>
                <w:sz w:val="20"/>
                <w:szCs w:val="20"/>
                <w:lang w:val="es-ES"/>
              </w:rPr>
            </w:pPr>
            <w:r w:rsidRPr="003111CA">
              <w:rPr>
                <w:sz w:val="20"/>
                <w:szCs w:val="20"/>
                <w:lang w:val="es-ES"/>
              </w:rPr>
              <w:t xml:space="preserve">Duart, Joseph y Albert </w:t>
            </w:r>
            <w:proofErr w:type="spellStart"/>
            <w:r w:rsidRPr="003111CA">
              <w:rPr>
                <w:sz w:val="20"/>
                <w:szCs w:val="20"/>
                <w:lang w:val="es-ES"/>
              </w:rPr>
              <w:t>Sangrá</w:t>
            </w:r>
            <w:proofErr w:type="spellEnd"/>
            <w:r w:rsidRPr="003111CA">
              <w:rPr>
                <w:sz w:val="20"/>
                <w:szCs w:val="20"/>
                <w:lang w:val="es-ES"/>
              </w:rPr>
              <w:t xml:space="preserve"> (</w:t>
            </w:r>
            <w:proofErr w:type="spellStart"/>
            <w:r w:rsidRPr="003111CA">
              <w:rPr>
                <w:sz w:val="20"/>
                <w:szCs w:val="20"/>
                <w:lang w:val="es-ES"/>
              </w:rPr>
              <w:t>comp.</w:t>
            </w:r>
            <w:proofErr w:type="spellEnd"/>
            <w:r w:rsidRPr="003111CA">
              <w:rPr>
                <w:sz w:val="20"/>
                <w:szCs w:val="20"/>
                <w:lang w:val="es-ES"/>
              </w:rPr>
              <w:t xml:space="preserve">) (2000) </w:t>
            </w:r>
            <w:r w:rsidRPr="003111CA">
              <w:rPr>
                <w:i/>
                <w:iCs/>
                <w:sz w:val="20"/>
                <w:szCs w:val="20"/>
                <w:lang w:val="es-ES"/>
              </w:rPr>
              <w:t>Aprender en la virtualidad.</w:t>
            </w:r>
            <w:r w:rsidRPr="003111CA">
              <w:rPr>
                <w:sz w:val="20"/>
                <w:szCs w:val="20"/>
                <w:lang w:val="es-ES"/>
              </w:rPr>
              <w:t xml:space="preserve"> Gedisa: España.</w:t>
            </w:r>
          </w:p>
          <w:p w:rsidR="00ED6C44" w:rsidRPr="003111CA" w:rsidRDefault="00ED6C44" w:rsidP="00ED6C44">
            <w:pPr>
              <w:spacing w:line="240" w:lineRule="auto"/>
              <w:ind w:left="709" w:hanging="709"/>
              <w:jc w:val="both"/>
              <w:rPr>
                <w:rFonts w:cs="Times New Roman"/>
                <w:sz w:val="20"/>
                <w:szCs w:val="20"/>
              </w:rPr>
            </w:pPr>
            <w:r w:rsidRPr="003111CA">
              <w:rPr>
                <w:rFonts w:cs="Times New Roman"/>
                <w:sz w:val="20"/>
                <w:szCs w:val="20"/>
              </w:rPr>
              <w:t xml:space="preserve">Freire, Paulo (2004) </w:t>
            </w:r>
            <w:r w:rsidRPr="003111CA">
              <w:rPr>
                <w:rFonts w:cs="Times New Roman"/>
                <w:i/>
                <w:sz w:val="20"/>
                <w:szCs w:val="20"/>
              </w:rPr>
              <w:t>El grito manso.</w:t>
            </w:r>
            <w:r w:rsidRPr="003111CA">
              <w:rPr>
                <w:rFonts w:cs="Times New Roman"/>
                <w:sz w:val="20"/>
                <w:szCs w:val="20"/>
              </w:rPr>
              <w:t xml:space="preserve"> Siglo XX Editores: México.</w:t>
            </w:r>
          </w:p>
          <w:p w:rsidR="00ED6C44" w:rsidRPr="003111CA" w:rsidRDefault="00ED6C44" w:rsidP="00ED6C44">
            <w:pPr>
              <w:spacing w:line="240" w:lineRule="auto"/>
              <w:ind w:left="709" w:hanging="709"/>
              <w:jc w:val="both"/>
              <w:rPr>
                <w:rFonts w:cs="Times New Roman"/>
                <w:sz w:val="20"/>
                <w:szCs w:val="20"/>
              </w:rPr>
            </w:pPr>
            <w:r w:rsidRPr="003111CA">
              <w:rPr>
                <w:sz w:val="20"/>
                <w:szCs w:val="20"/>
                <w:lang w:val="es-ES"/>
              </w:rPr>
              <w:t xml:space="preserve">Garzón, Alberto y Díez, Enrique (2016). </w:t>
            </w:r>
            <w:r w:rsidRPr="003111CA">
              <w:rPr>
                <w:i/>
                <w:sz w:val="20"/>
                <w:szCs w:val="20"/>
                <w:lang w:val="es-ES"/>
              </w:rPr>
              <w:t>La educación que necesitamos: escuela, universidad e investigación. Líneas básicas para un pacto por una educación republicana.</w:t>
            </w:r>
            <w:r w:rsidRPr="003111CA">
              <w:rPr>
                <w:sz w:val="20"/>
                <w:szCs w:val="20"/>
                <w:lang w:val="es-ES"/>
              </w:rPr>
              <w:t xml:space="preserve"> Foca: España.</w:t>
            </w:r>
          </w:p>
          <w:p w:rsidR="00ED6C44" w:rsidRPr="003111CA" w:rsidRDefault="00ED6C44" w:rsidP="00ED6C44">
            <w:pPr>
              <w:spacing w:line="240" w:lineRule="auto"/>
              <w:ind w:left="709" w:hanging="709"/>
              <w:jc w:val="both"/>
              <w:rPr>
                <w:sz w:val="20"/>
                <w:szCs w:val="20"/>
                <w:lang w:val="es-ES"/>
              </w:rPr>
            </w:pPr>
            <w:proofErr w:type="spellStart"/>
            <w:r w:rsidRPr="003111CA">
              <w:rPr>
                <w:sz w:val="20"/>
                <w:szCs w:val="20"/>
                <w:lang w:val="es-ES"/>
              </w:rPr>
              <w:t>Goodson</w:t>
            </w:r>
            <w:proofErr w:type="spellEnd"/>
            <w:r w:rsidRPr="003111CA">
              <w:rPr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3111CA">
              <w:rPr>
                <w:sz w:val="20"/>
                <w:szCs w:val="20"/>
                <w:lang w:val="es-ES"/>
              </w:rPr>
              <w:t>Ivor</w:t>
            </w:r>
            <w:proofErr w:type="spellEnd"/>
            <w:r w:rsidRPr="003111CA">
              <w:rPr>
                <w:sz w:val="20"/>
                <w:szCs w:val="20"/>
                <w:lang w:val="es-ES"/>
              </w:rPr>
              <w:t xml:space="preserve"> G. (2000) </w:t>
            </w:r>
            <w:r w:rsidRPr="003111CA">
              <w:rPr>
                <w:i/>
                <w:iCs/>
                <w:sz w:val="20"/>
                <w:szCs w:val="20"/>
                <w:lang w:val="es-ES"/>
              </w:rPr>
              <w:t xml:space="preserve">El cambio en el </w:t>
            </w:r>
            <w:proofErr w:type="spellStart"/>
            <w:r w:rsidRPr="003111CA">
              <w:rPr>
                <w:i/>
                <w:iCs/>
                <w:sz w:val="20"/>
                <w:szCs w:val="20"/>
                <w:lang w:val="es-ES"/>
              </w:rPr>
              <w:t>curriculum</w:t>
            </w:r>
            <w:proofErr w:type="spellEnd"/>
            <w:r w:rsidRPr="003111CA">
              <w:rPr>
                <w:i/>
                <w:iCs/>
                <w:sz w:val="20"/>
                <w:szCs w:val="20"/>
                <w:lang w:val="es-ES"/>
              </w:rPr>
              <w:t>.</w:t>
            </w:r>
            <w:r w:rsidRPr="003111CA">
              <w:rPr>
                <w:sz w:val="20"/>
                <w:szCs w:val="20"/>
                <w:lang w:val="es-ES"/>
              </w:rPr>
              <w:t xml:space="preserve"> Octaedro: España.</w:t>
            </w:r>
          </w:p>
          <w:p w:rsidR="00ED6C44" w:rsidRPr="003111CA" w:rsidRDefault="00ED6C44" w:rsidP="00ED6C44">
            <w:pPr>
              <w:spacing w:line="240" w:lineRule="auto"/>
              <w:ind w:left="709" w:hanging="709"/>
              <w:jc w:val="both"/>
              <w:rPr>
                <w:rFonts w:cs="Times New Roman"/>
                <w:sz w:val="20"/>
                <w:szCs w:val="20"/>
              </w:rPr>
            </w:pPr>
            <w:r w:rsidRPr="003111CA">
              <w:rPr>
                <w:rFonts w:cs="Times New Roman"/>
                <w:sz w:val="20"/>
                <w:szCs w:val="20"/>
              </w:rPr>
              <w:t xml:space="preserve">Morin, Edgar (1990) </w:t>
            </w:r>
            <w:r w:rsidRPr="003111CA">
              <w:rPr>
                <w:rFonts w:cs="Times New Roman"/>
                <w:bCs/>
                <w:i/>
                <w:sz w:val="20"/>
                <w:szCs w:val="20"/>
              </w:rPr>
              <w:t>Introducción al pensamiento complejo</w:t>
            </w:r>
            <w:r w:rsidRPr="003111CA">
              <w:rPr>
                <w:rFonts w:cs="Times New Roman"/>
                <w:bCs/>
                <w:sz w:val="20"/>
                <w:szCs w:val="20"/>
              </w:rPr>
              <w:t xml:space="preserve">. Gedisa: </w:t>
            </w:r>
            <w:r w:rsidRPr="003111CA">
              <w:rPr>
                <w:rFonts w:cs="Times New Roman"/>
                <w:sz w:val="20"/>
                <w:szCs w:val="20"/>
              </w:rPr>
              <w:t>España.</w:t>
            </w:r>
          </w:p>
          <w:p w:rsidR="00996B9F" w:rsidRPr="003111CA" w:rsidRDefault="00ED6C44" w:rsidP="00ED6C44">
            <w:pPr>
              <w:spacing w:line="240" w:lineRule="auto"/>
              <w:ind w:left="709" w:hanging="709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3111CA">
              <w:rPr>
                <w:rFonts w:cs="Times New Roman"/>
                <w:sz w:val="20"/>
                <w:szCs w:val="20"/>
              </w:rPr>
              <w:t>Taleb</w:t>
            </w:r>
            <w:proofErr w:type="spellEnd"/>
            <w:r w:rsidRPr="003111CA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3111CA">
              <w:rPr>
                <w:rFonts w:cs="Times New Roman"/>
                <w:sz w:val="20"/>
                <w:szCs w:val="20"/>
              </w:rPr>
              <w:t>Nassim</w:t>
            </w:r>
            <w:proofErr w:type="spellEnd"/>
            <w:r w:rsidRPr="003111CA">
              <w:rPr>
                <w:rFonts w:cs="Times New Roman"/>
                <w:sz w:val="20"/>
                <w:szCs w:val="20"/>
              </w:rPr>
              <w:t xml:space="preserve"> Nicholas (2008) </w:t>
            </w:r>
            <w:r w:rsidRPr="003111CA">
              <w:rPr>
                <w:rFonts w:cs="Times New Roman"/>
                <w:i/>
                <w:sz w:val="20"/>
                <w:szCs w:val="20"/>
              </w:rPr>
              <w:t>El Cisne Negro. El impacto de lo altamente improbable</w:t>
            </w:r>
            <w:r w:rsidRPr="003111CA">
              <w:rPr>
                <w:rFonts w:cs="Times New Roman"/>
                <w:sz w:val="20"/>
                <w:szCs w:val="20"/>
              </w:rPr>
              <w:t>, Paidós: Barcelona.</w:t>
            </w:r>
          </w:p>
        </w:tc>
        <w:tc>
          <w:tcPr>
            <w:tcW w:w="2393" w:type="pct"/>
          </w:tcPr>
          <w:p w:rsidR="00F01B3F" w:rsidRPr="003111CA" w:rsidRDefault="00F01B3F" w:rsidP="00F01B3F">
            <w:pPr>
              <w:ind w:left="709" w:hanging="709"/>
              <w:rPr>
                <w:sz w:val="20"/>
                <w:szCs w:val="20"/>
                <w:lang w:val="en-US"/>
              </w:rPr>
            </w:pPr>
            <w:r w:rsidRPr="003111CA">
              <w:rPr>
                <w:i/>
                <w:iCs/>
                <w:sz w:val="20"/>
                <w:szCs w:val="20"/>
                <w:lang w:val="en-US"/>
              </w:rPr>
              <w:t>Journal of curriculum studies.</w:t>
            </w:r>
            <w:r w:rsidRPr="003111C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1CA">
              <w:rPr>
                <w:sz w:val="20"/>
                <w:szCs w:val="20"/>
                <w:lang w:val="en-US"/>
              </w:rPr>
              <w:t>Publicación</w:t>
            </w:r>
            <w:proofErr w:type="spellEnd"/>
            <w:r w:rsidRPr="003111C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11CA">
              <w:rPr>
                <w:sz w:val="20"/>
                <w:szCs w:val="20"/>
                <w:lang w:val="en-US"/>
              </w:rPr>
              <w:t>bimestral</w:t>
            </w:r>
            <w:proofErr w:type="spellEnd"/>
            <w:r w:rsidRPr="003111CA">
              <w:rPr>
                <w:sz w:val="20"/>
                <w:szCs w:val="20"/>
                <w:lang w:val="en-US"/>
              </w:rPr>
              <w:t>.</w:t>
            </w:r>
          </w:p>
          <w:p w:rsidR="00813B97" w:rsidRPr="003111CA" w:rsidRDefault="00813B97" w:rsidP="0066726B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val="en-US"/>
              </w:rPr>
            </w:pPr>
          </w:p>
        </w:tc>
      </w:tr>
    </w:tbl>
    <w:p w:rsidR="005A3016" w:rsidRPr="003111CA" w:rsidRDefault="005A3016" w:rsidP="00335895">
      <w:pPr>
        <w:rPr>
          <w:sz w:val="20"/>
          <w:szCs w:val="20"/>
          <w:lang w:val="en-US"/>
        </w:rPr>
      </w:pPr>
    </w:p>
    <w:sectPr w:rsidR="005A3016" w:rsidRPr="003111C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047" w:rsidRDefault="00557047" w:rsidP="00335895">
      <w:pPr>
        <w:spacing w:after="0" w:line="240" w:lineRule="auto"/>
      </w:pPr>
      <w:r>
        <w:separator/>
      </w:r>
    </w:p>
  </w:endnote>
  <w:endnote w:type="continuationSeparator" w:id="0">
    <w:p w:rsidR="00557047" w:rsidRDefault="00557047" w:rsidP="00335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ndhi Sans">
    <w:altName w:val="Calibri"/>
    <w:panose1 w:val="00000000000000000000"/>
    <w:charset w:val="00"/>
    <w:family w:val="modern"/>
    <w:notTrueType/>
    <w:pitch w:val="variable"/>
    <w:sig w:usb0="00000003" w:usb1="5000204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2469292"/>
      <w:docPartObj>
        <w:docPartGallery w:val="Page Numbers (Bottom of Page)"/>
        <w:docPartUnique/>
      </w:docPartObj>
    </w:sdtPr>
    <w:sdtEndPr/>
    <w:sdtContent>
      <w:p w:rsidR="00335895" w:rsidRDefault="00335895">
        <w:pPr>
          <w:pStyle w:val="Piedepgin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3" name="Corchetes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5895" w:rsidRDefault="0033589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D06508" w:rsidRPr="00D06508">
                                <w:rPr>
                                  <w:noProof/>
                                  <w:lang w:val="es-ES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Corchetes 3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" filled="t" strokecolor="gray" strokeweight="2.25pt">
                  <v:textbox inset=",0,,0">
                    <w:txbxContent>
                      <w:p w:rsidR="00335895" w:rsidRDefault="00335895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D06508" w:rsidRPr="00D06508">
                          <w:rPr>
                            <w:noProof/>
                            <w:lang w:val="es-ES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1" name="Conector recto de flech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01CEFBE2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ector recto de flecha 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047" w:rsidRDefault="00557047" w:rsidP="00335895">
      <w:pPr>
        <w:spacing w:after="0" w:line="240" w:lineRule="auto"/>
      </w:pPr>
      <w:r>
        <w:separator/>
      </w:r>
    </w:p>
  </w:footnote>
  <w:footnote w:type="continuationSeparator" w:id="0">
    <w:p w:rsidR="00557047" w:rsidRDefault="00557047" w:rsidP="00335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3"/>
      <w:gridCol w:w="1957"/>
    </w:tblGrid>
    <w:tr w:rsidR="003111CA" w:rsidRPr="004B10D1" w:rsidTr="008330F3">
      <w:trPr>
        <w:trHeight w:val="600"/>
      </w:trPr>
      <w:tc>
        <w:tcPr>
          <w:tcW w:w="9968" w:type="dxa"/>
          <w:vAlign w:val="center"/>
        </w:tcPr>
        <w:p w:rsidR="003111CA" w:rsidRPr="0090363F" w:rsidRDefault="003111CA" w:rsidP="003111CA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Nuevas perspectivas en diseño curricular</w:t>
          </w:r>
        </w:p>
      </w:tc>
      <w:tc>
        <w:tcPr>
          <w:tcW w:w="2786" w:type="dxa"/>
        </w:tcPr>
        <w:p w:rsidR="003111CA" w:rsidRPr="004B10D1" w:rsidRDefault="003111CA" w:rsidP="003111CA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3F941EF2" wp14:editId="3074070D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3111CA" w:rsidRDefault="003111C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83EEF"/>
    <w:multiLevelType w:val="hybridMultilevel"/>
    <w:tmpl w:val="42FAF20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6236A"/>
    <w:multiLevelType w:val="hybridMultilevel"/>
    <w:tmpl w:val="8676073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0F90"/>
    <w:multiLevelType w:val="hybridMultilevel"/>
    <w:tmpl w:val="6A40B5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C5A26"/>
    <w:multiLevelType w:val="hybridMultilevel"/>
    <w:tmpl w:val="5A0E5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B2E7D"/>
    <w:multiLevelType w:val="hybridMultilevel"/>
    <w:tmpl w:val="5B4CDC8A"/>
    <w:lvl w:ilvl="0" w:tplc="A906B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5084E"/>
    <w:multiLevelType w:val="hybridMultilevel"/>
    <w:tmpl w:val="BA6AEF2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A47EB"/>
    <w:multiLevelType w:val="hybridMultilevel"/>
    <w:tmpl w:val="A9E41B2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13014"/>
    <w:multiLevelType w:val="hybridMultilevel"/>
    <w:tmpl w:val="21A2CC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C03711"/>
    <w:multiLevelType w:val="hybridMultilevel"/>
    <w:tmpl w:val="8E70FDD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0632B4"/>
    <w:multiLevelType w:val="hybridMultilevel"/>
    <w:tmpl w:val="C680913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"/>
  </w:num>
  <w:num w:numId="5">
    <w:abstractNumId w:val="9"/>
  </w:num>
  <w:num w:numId="6">
    <w:abstractNumId w:val="2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114355"/>
    <w:rsid w:val="00136ADF"/>
    <w:rsid w:val="001A5D90"/>
    <w:rsid w:val="001C5D22"/>
    <w:rsid w:val="002D3B8D"/>
    <w:rsid w:val="003111CA"/>
    <w:rsid w:val="0033142E"/>
    <w:rsid w:val="00335895"/>
    <w:rsid w:val="003E7E8A"/>
    <w:rsid w:val="00401BC0"/>
    <w:rsid w:val="00407464"/>
    <w:rsid w:val="0044125C"/>
    <w:rsid w:val="004B0FA1"/>
    <w:rsid w:val="00515AFB"/>
    <w:rsid w:val="0053446F"/>
    <w:rsid w:val="00557047"/>
    <w:rsid w:val="00571A59"/>
    <w:rsid w:val="005A3016"/>
    <w:rsid w:val="005D3151"/>
    <w:rsid w:val="005D6F80"/>
    <w:rsid w:val="0061497C"/>
    <w:rsid w:val="0066726B"/>
    <w:rsid w:val="006728E3"/>
    <w:rsid w:val="006A2A7F"/>
    <w:rsid w:val="006C4C59"/>
    <w:rsid w:val="006D46E9"/>
    <w:rsid w:val="006E39C2"/>
    <w:rsid w:val="006F7859"/>
    <w:rsid w:val="007155B9"/>
    <w:rsid w:val="007E2085"/>
    <w:rsid w:val="0080380F"/>
    <w:rsid w:val="00813B97"/>
    <w:rsid w:val="00830FFB"/>
    <w:rsid w:val="008C5FA0"/>
    <w:rsid w:val="00990806"/>
    <w:rsid w:val="009913BB"/>
    <w:rsid w:val="00996B9F"/>
    <w:rsid w:val="009A6CEE"/>
    <w:rsid w:val="009C560A"/>
    <w:rsid w:val="009F5E81"/>
    <w:rsid w:val="00A525A1"/>
    <w:rsid w:val="00B06900"/>
    <w:rsid w:val="00C23CBB"/>
    <w:rsid w:val="00C31C61"/>
    <w:rsid w:val="00D05A47"/>
    <w:rsid w:val="00D06508"/>
    <w:rsid w:val="00D6581C"/>
    <w:rsid w:val="00DA3D61"/>
    <w:rsid w:val="00DE4B9A"/>
    <w:rsid w:val="00E816F1"/>
    <w:rsid w:val="00EA73F9"/>
    <w:rsid w:val="00ED6C44"/>
    <w:rsid w:val="00F01B3F"/>
    <w:rsid w:val="00F54DDF"/>
    <w:rsid w:val="00FF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3BEF3B"/>
  <w15:docId w15:val="{B2C0FDEB-DDA1-488A-9FBF-6B39087E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4">
    <w:name w:val="A4"/>
    <w:uiPriority w:val="99"/>
    <w:rsid w:val="00515AFB"/>
    <w:rPr>
      <w:rFonts w:cs="Gandhi Sans"/>
      <w:color w:val="000000"/>
      <w:sz w:val="20"/>
      <w:szCs w:val="20"/>
    </w:rPr>
  </w:style>
  <w:style w:type="paragraph" w:customStyle="1" w:styleId="Pa7">
    <w:name w:val="Pa7"/>
    <w:basedOn w:val="Normal"/>
    <w:next w:val="Normal"/>
    <w:uiPriority w:val="99"/>
    <w:rsid w:val="00C31C61"/>
    <w:pPr>
      <w:autoSpaceDE w:val="0"/>
      <w:autoSpaceDN w:val="0"/>
      <w:adjustRightInd w:val="0"/>
      <w:spacing w:after="0" w:line="221" w:lineRule="atLeast"/>
    </w:pPr>
    <w:rPr>
      <w:rFonts w:ascii="Gandhi Sans" w:eastAsiaTheme="minorHAnsi" w:hAnsi="Gandhi Sans"/>
      <w:sz w:val="24"/>
      <w:szCs w:val="24"/>
      <w:lang w:eastAsia="en-US"/>
    </w:rPr>
  </w:style>
  <w:style w:type="paragraph" w:customStyle="1" w:styleId="Default">
    <w:name w:val="Default"/>
    <w:rsid w:val="00C31C61"/>
    <w:pPr>
      <w:autoSpaceDE w:val="0"/>
      <w:autoSpaceDN w:val="0"/>
      <w:adjustRightInd w:val="0"/>
      <w:spacing w:after="0" w:line="240" w:lineRule="auto"/>
    </w:pPr>
    <w:rPr>
      <w:rFonts w:ascii="Gandhi Sans" w:hAnsi="Gandhi Sans" w:cs="Gandhi Sans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A5D90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styleId="Tablaconcuadrcula">
    <w:name w:val="Table Grid"/>
    <w:basedOn w:val="Tablanormal"/>
    <w:uiPriority w:val="39"/>
    <w:rsid w:val="00401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358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5895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3358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5895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6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6508"/>
    <w:rPr>
      <w:rFonts w:ascii="Tahoma" w:eastAsiaTheme="minorEastAsia" w:hAnsi="Tahoma" w:cs="Tahoma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1355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2018-01-23T05:12:00Z</dcterms:created>
  <dcterms:modified xsi:type="dcterms:W3CDTF">2018-07-06T14:37:00Z</dcterms:modified>
</cp:coreProperties>
</file>