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0"/>
        <w:gridCol w:w="201"/>
        <w:gridCol w:w="494"/>
        <w:gridCol w:w="177"/>
        <w:gridCol w:w="115"/>
        <w:gridCol w:w="179"/>
        <w:gridCol w:w="138"/>
        <w:gridCol w:w="286"/>
        <w:gridCol w:w="173"/>
        <w:gridCol w:w="299"/>
        <w:gridCol w:w="627"/>
        <w:gridCol w:w="255"/>
        <w:gridCol w:w="424"/>
        <w:gridCol w:w="64"/>
        <w:gridCol w:w="1137"/>
        <w:gridCol w:w="138"/>
        <w:gridCol w:w="31"/>
        <w:gridCol w:w="29"/>
        <w:gridCol w:w="251"/>
        <w:gridCol w:w="288"/>
        <w:gridCol w:w="22"/>
        <w:gridCol w:w="38"/>
        <w:gridCol w:w="142"/>
        <w:gridCol w:w="60"/>
        <w:gridCol w:w="525"/>
        <w:gridCol w:w="26"/>
        <w:gridCol w:w="204"/>
        <w:gridCol w:w="230"/>
        <w:gridCol w:w="33"/>
        <w:gridCol w:w="543"/>
        <w:gridCol w:w="18"/>
        <w:gridCol w:w="546"/>
        <w:gridCol w:w="25"/>
      </w:tblGrid>
      <w:tr w:rsidR="00813B97" w:rsidRPr="006A4179" w:rsidTr="006A4179">
        <w:trPr>
          <w:gridAfter w:val="1"/>
          <w:wAfter w:w="14" w:type="pct"/>
          <w:trHeight w:hRule="exact" w:val="510"/>
        </w:trPr>
        <w:tc>
          <w:tcPr>
            <w:tcW w:w="14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F54DDF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0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B06900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6A4179" w:rsidTr="006A4179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0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6A4179">
        <w:trPr>
          <w:gridAfter w:val="1"/>
          <w:wAfter w:w="14" w:type="pct"/>
          <w:trHeight w:hRule="exact" w:val="584"/>
        </w:trPr>
        <w:tc>
          <w:tcPr>
            <w:tcW w:w="14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0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B06900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6A4179" w:rsidTr="006A4179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0" w:type="pct"/>
            <w:gridSpan w:val="24"/>
            <w:tcBorders>
              <w:left w:val="nil"/>
            </w:tcBorders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6A4179">
        <w:trPr>
          <w:gridAfter w:val="1"/>
          <w:wAfter w:w="14" w:type="pct"/>
          <w:trHeight w:hRule="exact" w:val="592"/>
        </w:trPr>
        <w:tc>
          <w:tcPr>
            <w:tcW w:w="14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F54DDF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2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954ABD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Modelos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olítico-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conómicos de la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ducación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6A4179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SHLI05315</w:t>
            </w:r>
          </w:p>
        </w:tc>
      </w:tr>
      <w:tr w:rsidR="00813B97" w:rsidRPr="006A4179" w:rsidTr="004A0A7F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6A4179">
        <w:trPr>
          <w:gridAfter w:val="1"/>
          <w:wAfter w:w="14" w:type="pct"/>
          <w:trHeight w:val="291"/>
        </w:trPr>
        <w:tc>
          <w:tcPr>
            <w:tcW w:w="7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6D46E9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6D46E9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35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0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B06900" w:rsidP="00FF2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29/0</w:t>
            </w:r>
            <w:r w:rsidR="00FF28B8"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1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/201</w:t>
            </w:r>
            <w:r w:rsidR="00FF28B8"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8</w:t>
            </w:r>
          </w:p>
        </w:tc>
        <w:tc>
          <w:tcPr>
            <w:tcW w:w="1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6D46E9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6A4179" w:rsidTr="006A4179">
        <w:trPr>
          <w:gridAfter w:val="1"/>
          <w:wAfter w:w="14" w:type="pct"/>
          <w:trHeight w:val="254"/>
        </w:trPr>
        <w:tc>
          <w:tcPr>
            <w:tcW w:w="7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0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2E2BFB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Dr. Abel R.</w:t>
            </w:r>
            <w:r w:rsidR="00FF28B8"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Hernández Ulloa</w:t>
            </w:r>
          </w:p>
        </w:tc>
      </w:tr>
      <w:tr w:rsidR="00813B97" w:rsidRPr="006A4179" w:rsidTr="004A0A7F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6A4179" w:rsidTr="006A4179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A4179" w:rsidRDefault="00583E30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A4179" w:rsidRDefault="000136BE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A4179" w:rsidRDefault="006D46E9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A4179" w:rsidRDefault="000136BE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6A4179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A4179" w:rsidRDefault="006D46E9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A4179" w:rsidRDefault="00583E30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A4179" w:rsidRDefault="000136BE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4A0A7F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6A4179">
        <w:trPr>
          <w:gridAfter w:val="1"/>
          <w:wAfter w:w="14" w:type="pct"/>
          <w:trHeight w:val="522"/>
        </w:trPr>
        <w:tc>
          <w:tcPr>
            <w:tcW w:w="11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A4179" w:rsidRDefault="006D46E9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A4179" w:rsidRDefault="002E2BFB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A4179" w:rsidRDefault="006D46E9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83E30" w:rsidRPr="006A4179" w:rsidRDefault="000136BE" w:rsidP="006A4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Ciencias de la Educación I</w:t>
            </w:r>
          </w:p>
        </w:tc>
        <w:tc>
          <w:tcPr>
            <w:tcW w:w="308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4A0A7F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4A0A7F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6A4179" w:rsidTr="004A0A7F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6A4179" w:rsidTr="004A0A7F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4A0A7F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Disciplinaria   (    ) Formativa   (    ) Metodológica</w:t>
            </w:r>
          </w:p>
        </w:tc>
      </w:tr>
      <w:tr w:rsidR="00813B97" w:rsidRPr="006A4179" w:rsidTr="004A0A7F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6A417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) Básica común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Básica disciplinar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 Profundización    (    ) Complementaria  </w:t>
            </w:r>
          </w:p>
        </w:tc>
      </w:tr>
      <w:tr w:rsidR="00813B97" w:rsidRPr="006A4179" w:rsidTr="004A0A7F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D5020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   ) Taller   (    ) Laboratorio   (   </w:t>
            </w:r>
            <w:r w:rsidR="00D5020D"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Seminario</w:t>
            </w:r>
          </w:p>
        </w:tc>
      </w:tr>
      <w:tr w:rsidR="00813B97" w:rsidRPr="006A4179" w:rsidTr="004A0A7F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A4179" w:rsidRDefault="00813B97" w:rsidP="00D5020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D5020D"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 ( 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Recursable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Selectiva</w:t>
            </w:r>
            <w:r w:rsid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441"/>
      </w:tblGrid>
      <w:tr w:rsidR="00813B97" w:rsidRPr="006A4179" w:rsidTr="006A417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A4179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6A4179" w:rsidTr="006A4179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54ABD" w:rsidRPr="006A4179" w:rsidRDefault="00954ABD" w:rsidP="006A4179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un Doctor en Educación con conocimientos en el área de Política y Economía. </w:t>
            </w:r>
          </w:p>
          <w:p w:rsidR="00954ABD" w:rsidRPr="006A4179" w:rsidRDefault="00954ABD" w:rsidP="006A4179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debe contar con las siguientes competencias genéricas del MEUG:</w:t>
            </w:r>
          </w:p>
          <w:p w:rsidR="00954ABD" w:rsidRPr="006A4179" w:rsidRDefault="00954ABD" w:rsidP="006A4179">
            <w:pPr>
              <w:spacing w:line="276" w:lineRule="auto"/>
              <w:ind w:left="592" w:hanging="592"/>
              <w:contextualSpacing/>
              <w:jc w:val="both"/>
              <w:rPr>
                <w:rStyle w:val="A4"/>
                <w:rFonts w:cs="Arial"/>
              </w:rPr>
            </w:pPr>
            <w:r w:rsidRPr="006A4179">
              <w:rPr>
                <w:rStyle w:val="A4"/>
                <w:rFonts w:cs="Arial"/>
              </w:rPr>
              <w:t xml:space="preserve">CG4. Sustenta una postura personal sobre temas de interés y relevancia general, considerando otros puntos de vista de manera crítica, respetuosa y reflexiva. </w:t>
            </w:r>
          </w:p>
          <w:p w:rsidR="00954ABD" w:rsidRPr="006A4179" w:rsidRDefault="00954ABD" w:rsidP="006A4179">
            <w:pPr>
              <w:spacing w:line="276" w:lineRule="auto"/>
              <w:ind w:left="592" w:hanging="592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Style w:val="A4"/>
                <w:rFonts w:cs="Arial"/>
              </w:rPr>
              <w:t xml:space="preserve">CG6. Mantiene una actitud respetuosa hacia la interculturalidad y la diversidad para crear espacios de convivencia humana, académica y profesional y construir sociedades incluyentes. </w:t>
            </w:r>
          </w:p>
          <w:p w:rsidR="006A4179" w:rsidRPr="006A4179" w:rsidRDefault="00954ABD" w:rsidP="006A4179">
            <w:pPr>
              <w:spacing w:before="240" w:line="276" w:lineRule="auto"/>
              <w:ind w:left="590" w:hanging="59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6A4179">
              <w:rPr>
                <w:rStyle w:val="A4"/>
                <w:rFonts w:cs="Arial"/>
              </w:rPr>
              <w:t>CG8. Se vincula con el entorno e involucra al estudiante en actividades de familiarización e interacción en su campo de formación, sea mediante la extensión o la investigación para la formación de su perfil profesional.</w:t>
            </w:r>
          </w:p>
        </w:tc>
      </w:tr>
      <w:tr w:rsidR="00813B97" w:rsidRPr="006A4179" w:rsidTr="006A417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A417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6A4179" w:rsidTr="006A4179">
        <w:trPr>
          <w:jc w:val="center"/>
        </w:trPr>
        <w:tc>
          <w:tcPr>
            <w:tcW w:w="5000" w:type="pct"/>
            <w:gridSpan w:val="2"/>
          </w:tcPr>
          <w:p w:rsidR="00954ABD" w:rsidRPr="006A4179" w:rsidRDefault="00954ABD" w:rsidP="00954ABD">
            <w:pPr>
              <w:widowControl w:val="0"/>
              <w:autoSpaceDE w:val="0"/>
              <w:spacing w:before="35" w:after="0"/>
              <w:ind w:left="105" w:right="-20"/>
              <w:jc w:val="both"/>
              <w:rPr>
                <w:rFonts w:cs="Arial"/>
                <w:sz w:val="20"/>
                <w:szCs w:val="20"/>
              </w:rPr>
            </w:pPr>
            <w:bookmarkStart w:id="1" w:name="_GoBack" w:colFirst="0" w:colLast="0"/>
            <w:r w:rsidRPr="006A4179">
              <w:rPr>
                <w:rFonts w:cs="Arial"/>
                <w:sz w:val="20"/>
                <w:szCs w:val="20"/>
              </w:rPr>
              <w:t>La Unidad de Aprendizaje incide de manera directa en la formación de las competencias genéricas:</w:t>
            </w:r>
          </w:p>
          <w:p w:rsidR="00954ABD" w:rsidRPr="006A4179" w:rsidRDefault="00954ABD" w:rsidP="00954ABD">
            <w:pPr>
              <w:widowControl w:val="0"/>
              <w:autoSpaceDE w:val="0"/>
              <w:spacing w:before="35" w:after="0"/>
              <w:ind w:left="105" w:right="-20"/>
              <w:jc w:val="both"/>
              <w:rPr>
                <w:rFonts w:cs="Arial"/>
                <w:sz w:val="20"/>
                <w:szCs w:val="20"/>
              </w:rPr>
            </w:pPr>
          </w:p>
          <w:p w:rsidR="00954ABD" w:rsidRPr="006A4179" w:rsidRDefault="00954ABD" w:rsidP="006A4179">
            <w:pPr>
              <w:widowControl w:val="0"/>
              <w:autoSpaceDE w:val="0"/>
              <w:spacing w:before="35" w:after="0"/>
              <w:ind w:left="734" w:right="-20" w:hanging="629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954ABD" w:rsidRPr="006A4179" w:rsidRDefault="00954ABD" w:rsidP="006A4179">
            <w:pPr>
              <w:widowControl w:val="0"/>
              <w:autoSpaceDE w:val="0"/>
              <w:spacing w:before="35" w:after="0"/>
              <w:ind w:left="734" w:right="-20" w:hanging="629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954ABD" w:rsidRPr="006A4179" w:rsidRDefault="00954ABD" w:rsidP="006A4179">
            <w:pPr>
              <w:widowControl w:val="0"/>
              <w:autoSpaceDE w:val="0"/>
              <w:spacing w:before="35" w:after="0"/>
              <w:ind w:left="734" w:right="-20" w:hanging="629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954ABD" w:rsidRPr="006A4179" w:rsidRDefault="00954ABD" w:rsidP="006A4179">
            <w:pPr>
              <w:widowControl w:val="0"/>
              <w:autoSpaceDE w:val="0"/>
              <w:spacing w:before="35" w:after="0"/>
              <w:ind w:left="734" w:right="-20" w:hanging="629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954ABD" w:rsidRPr="006A4179" w:rsidRDefault="00954ABD" w:rsidP="006A4179">
            <w:pPr>
              <w:widowControl w:val="0"/>
              <w:autoSpaceDE w:val="0"/>
              <w:spacing w:before="35" w:after="0"/>
              <w:ind w:left="734" w:right="-20" w:hanging="629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CG8. Maneja en forma ética y socialmente responsable las tecnologías de la información en sus procesos personales, académicos y profesionales</w:t>
            </w:r>
          </w:p>
          <w:p w:rsidR="00954ABD" w:rsidRPr="006A4179" w:rsidRDefault="00954ABD" w:rsidP="00954ABD">
            <w:pPr>
              <w:spacing w:line="240" w:lineRule="auto"/>
              <w:ind w:left="105"/>
              <w:rPr>
                <w:rFonts w:cs="Arial"/>
                <w:sz w:val="20"/>
                <w:szCs w:val="20"/>
              </w:rPr>
            </w:pPr>
          </w:p>
          <w:p w:rsidR="00954ABD" w:rsidRPr="006A4179" w:rsidRDefault="00954ABD" w:rsidP="002E2BFB">
            <w:pPr>
              <w:widowControl w:val="0"/>
              <w:autoSpaceDE w:val="0"/>
              <w:spacing w:before="35" w:after="0"/>
              <w:ind w:left="105"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Además, contribuye a las competencias específicas del programa:</w:t>
            </w:r>
          </w:p>
          <w:p w:rsidR="002E2BFB" w:rsidRPr="006A4179" w:rsidRDefault="002E2BFB" w:rsidP="002E2BFB">
            <w:pPr>
              <w:widowControl w:val="0"/>
              <w:autoSpaceDE w:val="0"/>
              <w:spacing w:before="35" w:after="0"/>
              <w:ind w:left="105" w:right="-20"/>
              <w:jc w:val="both"/>
              <w:rPr>
                <w:rFonts w:cs="Arial"/>
                <w:sz w:val="20"/>
                <w:szCs w:val="20"/>
              </w:rPr>
            </w:pPr>
          </w:p>
          <w:p w:rsidR="00954ABD" w:rsidRPr="006A4179" w:rsidRDefault="00954ABD" w:rsidP="006A4179">
            <w:pPr>
              <w:spacing w:line="240" w:lineRule="auto"/>
              <w:ind w:left="734" w:hanging="629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CE3. Proyecta y desarrolla acciones educativas de carácter interdisciplinario.</w:t>
            </w:r>
          </w:p>
          <w:p w:rsidR="00954ABD" w:rsidRPr="006A4179" w:rsidRDefault="00954ABD" w:rsidP="006A4179">
            <w:pPr>
              <w:spacing w:line="240" w:lineRule="auto"/>
              <w:ind w:left="734" w:hanging="629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996B9F" w:rsidRPr="006A4179" w:rsidRDefault="00954ABD" w:rsidP="006A4179">
            <w:pPr>
              <w:spacing w:line="240" w:lineRule="auto"/>
              <w:ind w:left="734" w:hanging="629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CE13. Conoce la teoría educativa y hace uso crítico de ella en diferentes contextos.</w:t>
            </w:r>
          </w:p>
        </w:tc>
      </w:tr>
      <w:bookmarkEnd w:id="1"/>
      <w:tr w:rsidR="00813B97" w:rsidRPr="006A4179" w:rsidTr="006A417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A417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6A4179" w:rsidTr="006A4179">
        <w:trPr>
          <w:jc w:val="center"/>
        </w:trPr>
        <w:tc>
          <w:tcPr>
            <w:tcW w:w="5000" w:type="pct"/>
            <w:gridSpan w:val="2"/>
          </w:tcPr>
          <w:p w:rsidR="00954ABD" w:rsidRPr="006A4179" w:rsidRDefault="00954ABD" w:rsidP="00954ABD">
            <w:pPr>
              <w:widowControl w:val="0"/>
              <w:autoSpaceDE w:val="0"/>
              <w:spacing w:before="35" w:after="0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La importancia de esta Unidad de Aprendizaje reside en la comprensión de los vínculos estratégicos de la investigación educativa y la construcción de políticas públicas con una perspectiva de desarrollo económico incluyente y, por lo tanto, abre un espacio para el desarrollo de actividades que permitan a los estudiantes conocer e identificar las características específicas de la</w:t>
            </w:r>
            <w:r w:rsidR="00F348E2" w:rsidRPr="006A4179">
              <w:rPr>
                <w:rFonts w:cs="Arial"/>
                <w:sz w:val="20"/>
                <w:szCs w:val="20"/>
              </w:rPr>
              <w:t xml:space="preserve"> colaboración interdisciplinaria </w:t>
            </w:r>
            <w:r w:rsidR="00383FA3" w:rsidRPr="006A4179">
              <w:rPr>
                <w:rFonts w:cs="Arial"/>
                <w:sz w:val="20"/>
                <w:szCs w:val="20"/>
              </w:rPr>
              <w:t>con un enfoque de</w:t>
            </w:r>
            <w:r w:rsidR="00F348E2" w:rsidRPr="006A4179">
              <w:rPr>
                <w:rFonts w:cs="Arial"/>
                <w:sz w:val="20"/>
                <w:szCs w:val="20"/>
              </w:rPr>
              <w:t xml:space="preserve"> desarrollo social</w:t>
            </w:r>
            <w:r w:rsidR="00383FA3" w:rsidRPr="006A4179">
              <w:rPr>
                <w:rFonts w:cs="Arial"/>
                <w:sz w:val="20"/>
                <w:szCs w:val="20"/>
              </w:rPr>
              <w:t xml:space="preserve"> y humano.</w:t>
            </w:r>
          </w:p>
          <w:p w:rsidR="00954ABD" w:rsidRPr="006A4179" w:rsidRDefault="00954ABD" w:rsidP="00954ABD">
            <w:pPr>
              <w:widowControl w:val="0"/>
              <w:autoSpaceDE w:val="0"/>
              <w:spacing w:before="35" w:after="0"/>
              <w:ind w:right="-20"/>
              <w:jc w:val="both"/>
              <w:rPr>
                <w:rFonts w:cs="Arial"/>
                <w:sz w:val="20"/>
                <w:szCs w:val="20"/>
              </w:rPr>
            </w:pPr>
          </w:p>
          <w:p w:rsidR="00954ABD" w:rsidRPr="006A4179" w:rsidRDefault="00954ABD" w:rsidP="00954ABD">
            <w:pPr>
              <w:widowControl w:val="0"/>
              <w:autoSpaceDE w:val="0"/>
              <w:spacing w:before="35" w:after="0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 xml:space="preserve">En términos generales vincula al estudiante con </w:t>
            </w:r>
            <w:r w:rsidR="00F348E2" w:rsidRPr="006A4179">
              <w:rPr>
                <w:rFonts w:cs="Arial"/>
                <w:sz w:val="20"/>
                <w:szCs w:val="20"/>
              </w:rPr>
              <w:t>la</w:t>
            </w:r>
            <w:r w:rsidR="00CA2C45" w:rsidRPr="006A4179">
              <w:rPr>
                <w:rFonts w:cs="Arial"/>
                <w:sz w:val="20"/>
                <w:szCs w:val="20"/>
              </w:rPr>
              <w:t xml:space="preserve"> importancia de la educación para el de desarrollo de su sociedad pensando en la complejidad de esa tarea y la necesaria colaboración interdisciplinaria (con expertos en las disciplinas política y económicas) para la construcción de políticas públicas.</w:t>
            </w:r>
            <w:r w:rsidRPr="006A4179">
              <w:rPr>
                <w:rFonts w:cs="Arial"/>
                <w:sz w:val="20"/>
                <w:szCs w:val="20"/>
              </w:rPr>
              <w:t xml:space="preserve"> </w:t>
            </w:r>
            <w:r w:rsidR="00CA2C45" w:rsidRPr="006A4179">
              <w:rPr>
                <w:rFonts w:cs="Arial"/>
                <w:sz w:val="20"/>
                <w:szCs w:val="20"/>
              </w:rPr>
              <w:t>De</w:t>
            </w:r>
            <w:r w:rsidRPr="006A4179">
              <w:rPr>
                <w:rFonts w:cs="Arial"/>
                <w:sz w:val="20"/>
                <w:szCs w:val="20"/>
              </w:rPr>
              <w:t xml:space="preserve"> manera particular</w:t>
            </w:r>
            <w:r w:rsidR="00CA2C45" w:rsidRPr="006A4179">
              <w:rPr>
                <w:rFonts w:cs="Arial"/>
                <w:sz w:val="20"/>
                <w:szCs w:val="20"/>
              </w:rPr>
              <w:t xml:space="preserve"> vincula a los estudiantes</w:t>
            </w:r>
            <w:r w:rsidRPr="006A4179">
              <w:rPr>
                <w:rFonts w:cs="Arial"/>
                <w:sz w:val="20"/>
                <w:szCs w:val="20"/>
              </w:rPr>
              <w:t xml:space="preserve"> con las realidades contextuales que la envuelven, las condiciones de operación del sistema educativo y con las posibles alternativas de solución a las diversas problemáticas educativas de la actualidad.</w:t>
            </w:r>
          </w:p>
          <w:p w:rsidR="00CA2C45" w:rsidRPr="006A4179" w:rsidRDefault="00CA2C45" w:rsidP="00954ABD">
            <w:pPr>
              <w:widowControl w:val="0"/>
              <w:autoSpaceDE w:val="0"/>
              <w:spacing w:before="35" w:after="0"/>
              <w:ind w:right="-20"/>
              <w:jc w:val="both"/>
              <w:rPr>
                <w:rFonts w:cs="Arial"/>
                <w:sz w:val="20"/>
                <w:szCs w:val="20"/>
              </w:rPr>
            </w:pPr>
          </w:p>
          <w:p w:rsidR="00954ABD" w:rsidRPr="006A4179" w:rsidRDefault="00954ABD" w:rsidP="00954ABD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</w:pP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Asimismo, aporta contenidos transversales para la mejora de </w:t>
            </w:r>
            <w:r w:rsidR="00CA2C45" w:rsidRPr="006A4179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las habilidades lectoras y de </w:t>
            </w:r>
            <w:r w:rsidRPr="006A4179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la expresión oral y escrita.  </w:t>
            </w:r>
          </w:p>
          <w:p w:rsidR="00813B97" w:rsidRPr="006A4179" w:rsidRDefault="00954ABD" w:rsidP="00CA2C45">
            <w:pPr>
              <w:spacing w:line="240" w:lineRule="auto"/>
              <w:rPr>
                <w:rFonts w:cs="Arial"/>
                <w:sz w:val="20"/>
                <w:szCs w:val="20"/>
                <w:shd w:val="clear" w:color="auto" w:fill="FFFFFF" w:themeFill="background1"/>
              </w:rPr>
            </w:pPr>
            <w:r w:rsidRPr="006A4179">
              <w:rPr>
                <w:rFonts w:cs="Arial"/>
                <w:sz w:val="20"/>
                <w:szCs w:val="20"/>
                <w:shd w:val="clear" w:color="auto" w:fill="FFFFFF" w:themeFill="background1"/>
              </w:rPr>
              <w:t xml:space="preserve">Esta Unidad de Aprendizaje se imparte en el </w:t>
            </w:r>
            <w:r w:rsidR="00CA2C45" w:rsidRPr="006A4179">
              <w:rPr>
                <w:rFonts w:cs="Arial"/>
                <w:sz w:val="20"/>
                <w:szCs w:val="20"/>
                <w:shd w:val="clear" w:color="auto" w:fill="FFFFFF" w:themeFill="background1"/>
              </w:rPr>
              <w:t>cuarto</w:t>
            </w:r>
            <w:r w:rsidRPr="006A4179">
              <w:rPr>
                <w:rFonts w:cs="Arial"/>
                <w:sz w:val="20"/>
                <w:szCs w:val="20"/>
                <w:shd w:val="clear" w:color="auto" w:fill="FFFFFF" w:themeFill="background1"/>
              </w:rPr>
              <w:t xml:space="preserve"> semestre del Program</w:t>
            </w:r>
            <w:r w:rsidR="00CA2C45" w:rsidRPr="006A4179">
              <w:rPr>
                <w:rFonts w:cs="Arial"/>
                <w:sz w:val="20"/>
                <w:szCs w:val="20"/>
                <w:shd w:val="clear" w:color="auto" w:fill="FFFFFF" w:themeFill="background1"/>
              </w:rPr>
              <w:t>a, S</w:t>
            </w:r>
            <w:r w:rsidRPr="006A4179">
              <w:rPr>
                <w:rFonts w:cs="Arial"/>
                <w:sz w:val="20"/>
                <w:szCs w:val="20"/>
                <w:shd w:val="clear" w:color="auto" w:fill="FFFFFF" w:themeFill="background1"/>
              </w:rPr>
              <w:t xml:space="preserve">e relaciona con las unidades de aprendizaje: </w:t>
            </w:r>
            <w:r w:rsidR="00CA2C45" w:rsidRPr="006A4179">
              <w:rPr>
                <w:rFonts w:cs="Arial"/>
                <w:sz w:val="20"/>
                <w:szCs w:val="20"/>
                <w:shd w:val="clear" w:color="auto" w:fill="FFFFFF" w:themeFill="background1"/>
              </w:rPr>
              <w:t>Ciencias de la educación I y II, Introducción a las ciencias sociales</w:t>
            </w:r>
            <w:r w:rsidR="00413C89" w:rsidRPr="006A4179">
              <w:rPr>
                <w:rFonts w:cs="Arial"/>
                <w:sz w:val="20"/>
                <w:szCs w:val="20"/>
                <w:shd w:val="clear" w:color="auto" w:fill="FFFFFF" w:themeFill="background1"/>
              </w:rPr>
              <w:t xml:space="preserve"> y Modelos socio-antropológicos de la educación. </w:t>
            </w:r>
          </w:p>
          <w:p w:rsidR="00996B9F" w:rsidRPr="006A4179" w:rsidRDefault="00996B9F" w:rsidP="004A0A7F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6A4179" w:rsidTr="006A417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6A417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6A4179" w:rsidTr="006A4179">
        <w:trPr>
          <w:jc w:val="center"/>
        </w:trPr>
        <w:tc>
          <w:tcPr>
            <w:tcW w:w="5000" w:type="pct"/>
            <w:gridSpan w:val="2"/>
            <w:vAlign w:val="center"/>
          </w:tcPr>
          <w:p w:rsidR="00F54DDF" w:rsidRPr="006A4179" w:rsidRDefault="00AA6571" w:rsidP="006A4179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t xml:space="preserve">Identifica la importancia de los estudios disciplinares de las ciencias políticas, económicas y educativas, y puede valorar la colaboración interdisciplinaria con el propósito de poder trabajar en favor del sistema complejo implicado </w:t>
            </w:r>
            <w:r w:rsidR="009721CE" w:rsidRPr="006A4179">
              <w:rPr>
                <w:sz w:val="20"/>
                <w:szCs w:val="20"/>
              </w:rPr>
              <w:t>en</w:t>
            </w:r>
            <w:r w:rsidRPr="006A4179">
              <w:rPr>
                <w:sz w:val="20"/>
                <w:szCs w:val="20"/>
              </w:rPr>
              <w:t xml:space="preserve"> el desarrollo </w:t>
            </w:r>
            <w:r w:rsidR="009721CE" w:rsidRPr="006A4179">
              <w:rPr>
                <w:sz w:val="20"/>
                <w:szCs w:val="20"/>
              </w:rPr>
              <w:t xml:space="preserve">integral del ser </w:t>
            </w:r>
            <w:r w:rsidRPr="006A4179">
              <w:rPr>
                <w:sz w:val="20"/>
                <w:szCs w:val="20"/>
              </w:rPr>
              <w:t xml:space="preserve">humano. </w:t>
            </w:r>
          </w:p>
          <w:p w:rsidR="00AA6571" w:rsidRPr="006A4179" w:rsidRDefault="00AA6571" w:rsidP="006A4179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lastRenderedPageBreak/>
              <w:t xml:space="preserve">Conoce las problemáticas de las ciencias económica y política, así como las propuestas que son articuladas en algunos países y regiones en la actualidad; así como los estudios de organismos internacionales que permiten contrastar los desempeños por países y regiones a nivel global. </w:t>
            </w:r>
          </w:p>
        </w:tc>
      </w:tr>
      <w:tr w:rsidR="00813B97" w:rsidRPr="006A4179" w:rsidTr="006A417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A417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6A4179" w:rsidTr="006A4179">
        <w:trPr>
          <w:jc w:val="center"/>
        </w:trPr>
        <w:tc>
          <w:tcPr>
            <w:tcW w:w="5000" w:type="pct"/>
            <w:gridSpan w:val="2"/>
            <w:vAlign w:val="center"/>
          </w:tcPr>
          <w:p w:rsidR="000C01C2" w:rsidRPr="006A4179" w:rsidRDefault="00550A5B" w:rsidP="006A4179">
            <w:pPr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t xml:space="preserve">1. Caracterizar el tema de estudio –Modelos político-económicos de la educación- </w:t>
            </w:r>
            <w:r w:rsidR="009526FA" w:rsidRPr="006A4179">
              <w:rPr>
                <w:sz w:val="20"/>
                <w:szCs w:val="20"/>
              </w:rPr>
              <w:t xml:space="preserve"> como la propuesta de una metodología interdisciplinaria para construir</w:t>
            </w:r>
            <w:r w:rsidRPr="006A4179">
              <w:rPr>
                <w:sz w:val="20"/>
                <w:szCs w:val="20"/>
              </w:rPr>
              <w:t xml:space="preserve"> </w:t>
            </w:r>
            <w:r w:rsidR="009526FA" w:rsidRPr="006A4179">
              <w:rPr>
                <w:sz w:val="20"/>
                <w:szCs w:val="20"/>
              </w:rPr>
              <w:t>como objeto de estudio</w:t>
            </w:r>
            <w:r w:rsidR="000C01C2" w:rsidRPr="006A4179">
              <w:rPr>
                <w:sz w:val="20"/>
                <w:szCs w:val="20"/>
              </w:rPr>
              <w:t xml:space="preserve"> </w:t>
            </w:r>
            <w:r w:rsidR="002F4EBD" w:rsidRPr="006A4179">
              <w:rPr>
                <w:sz w:val="20"/>
                <w:szCs w:val="20"/>
              </w:rPr>
              <w:t>un</w:t>
            </w:r>
            <w:r w:rsidR="000C01C2" w:rsidRPr="006A4179">
              <w:rPr>
                <w:sz w:val="20"/>
                <w:szCs w:val="20"/>
              </w:rPr>
              <w:t xml:space="preserve"> sistema complejo </w:t>
            </w:r>
            <w:r w:rsidR="002F4EBD" w:rsidRPr="006A4179">
              <w:rPr>
                <w:sz w:val="20"/>
                <w:szCs w:val="20"/>
              </w:rPr>
              <w:t>en el que interactúan como subsistemas realidades políticas, económicas y educativas que se estructuran recíprocamente en sus procesos</w:t>
            </w:r>
            <w:r w:rsidR="000C01C2" w:rsidRPr="006A4179">
              <w:rPr>
                <w:sz w:val="20"/>
                <w:szCs w:val="20"/>
              </w:rPr>
              <w:t xml:space="preserve">. </w:t>
            </w:r>
            <w:r w:rsidR="002F4EBD" w:rsidRPr="006A4179">
              <w:rPr>
                <w:sz w:val="20"/>
                <w:szCs w:val="20"/>
              </w:rPr>
              <w:t>Al entender cómo en este</w:t>
            </w:r>
            <w:r w:rsidR="000C01C2" w:rsidRPr="006A4179">
              <w:rPr>
                <w:sz w:val="20"/>
                <w:szCs w:val="20"/>
              </w:rPr>
              <w:t xml:space="preserve"> sistema complejo se integran </w:t>
            </w:r>
            <w:proofErr w:type="gramStart"/>
            <w:r w:rsidR="000C01C2" w:rsidRPr="006A4179">
              <w:rPr>
                <w:sz w:val="20"/>
                <w:szCs w:val="20"/>
              </w:rPr>
              <w:t>y  regulan</w:t>
            </w:r>
            <w:proofErr w:type="gramEnd"/>
            <w:r w:rsidR="000C01C2" w:rsidRPr="006A4179">
              <w:rPr>
                <w:sz w:val="20"/>
                <w:szCs w:val="20"/>
              </w:rPr>
              <w:t xml:space="preserve"> los procesos de </w:t>
            </w:r>
            <w:r w:rsidR="00143D45" w:rsidRPr="006A4179">
              <w:rPr>
                <w:sz w:val="20"/>
                <w:szCs w:val="20"/>
              </w:rPr>
              <w:t>esa</w:t>
            </w:r>
            <w:r w:rsidR="000C01C2" w:rsidRPr="006A4179">
              <w:rPr>
                <w:sz w:val="20"/>
                <w:szCs w:val="20"/>
              </w:rPr>
              <w:t>s dinámicas sociales, políticas y económicas</w:t>
            </w:r>
            <w:r w:rsidR="00FD0156" w:rsidRPr="006A4179">
              <w:rPr>
                <w:sz w:val="20"/>
                <w:szCs w:val="20"/>
              </w:rPr>
              <w:t>,</w:t>
            </w:r>
            <w:r w:rsidR="000C01C2" w:rsidRPr="006A4179">
              <w:rPr>
                <w:sz w:val="20"/>
                <w:szCs w:val="20"/>
              </w:rPr>
              <w:t xml:space="preserve"> </w:t>
            </w:r>
            <w:r w:rsidR="009526FA" w:rsidRPr="006A4179">
              <w:rPr>
                <w:sz w:val="20"/>
                <w:szCs w:val="20"/>
              </w:rPr>
              <w:t>se busca</w:t>
            </w:r>
            <w:r w:rsidR="000C01C2" w:rsidRPr="006A4179">
              <w:rPr>
                <w:sz w:val="20"/>
                <w:szCs w:val="20"/>
              </w:rPr>
              <w:t xml:space="preserve"> </w:t>
            </w:r>
            <w:r w:rsidR="00143D45" w:rsidRPr="006A4179">
              <w:rPr>
                <w:sz w:val="20"/>
                <w:szCs w:val="20"/>
              </w:rPr>
              <w:t>una posible coordinación entre ellas para la</w:t>
            </w:r>
            <w:r w:rsidR="000C01C2" w:rsidRPr="006A4179">
              <w:rPr>
                <w:sz w:val="20"/>
                <w:szCs w:val="20"/>
              </w:rPr>
              <w:t xml:space="preserve"> generación de políticas públicas en diferentes niveles (local, estatal, nacional e incluso mundial) para promover fundamentalmente el desarrollo humano. </w:t>
            </w:r>
            <w:r w:rsidR="009526FA" w:rsidRPr="006A4179">
              <w:rPr>
                <w:sz w:val="20"/>
                <w:szCs w:val="20"/>
              </w:rPr>
              <w:t xml:space="preserve"> </w:t>
            </w:r>
          </w:p>
          <w:p w:rsidR="00550A5B" w:rsidRPr="006A4179" w:rsidRDefault="00550A5B" w:rsidP="006A4179">
            <w:pPr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t>2. Conocer</w:t>
            </w:r>
            <w:r w:rsidR="00FD0156" w:rsidRPr="006A4179">
              <w:rPr>
                <w:sz w:val="20"/>
                <w:szCs w:val="20"/>
              </w:rPr>
              <w:t xml:space="preserve"> los procesos, estructuras de mercado (microeconomía) y los mecanismos que definen la organización económica nacional (macroeconomía) y en particular los mecanismos fiscales para determinar la elaboración de políticas públicas que inciden en el sistema educativo. </w:t>
            </w:r>
            <w:r w:rsidRPr="006A4179">
              <w:rPr>
                <w:sz w:val="20"/>
                <w:szCs w:val="20"/>
              </w:rPr>
              <w:t xml:space="preserve"> </w:t>
            </w:r>
            <w:r w:rsidR="00293C4F" w:rsidRPr="006A4179">
              <w:rPr>
                <w:sz w:val="20"/>
                <w:szCs w:val="20"/>
              </w:rPr>
              <w:t>Se estudiarán algunas propuestas de</w:t>
            </w:r>
            <w:r w:rsidRPr="006A4179">
              <w:rPr>
                <w:sz w:val="20"/>
                <w:szCs w:val="20"/>
              </w:rPr>
              <w:t xml:space="preserve"> estudio de la economía global</w:t>
            </w:r>
            <w:r w:rsidR="00293C4F" w:rsidRPr="006A4179">
              <w:rPr>
                <w:sz w:val="20"/>
                <w:szCs w:val="20"/>
              </w:rPr>
              <w:t xml:space="preserve"> y sus implicaciones en la elaboración de políticas regionales y nacionales</w:t>
            </w:r>
            <w:r w:rsidRPr="006A4179">
              <w:rPr>
                <w:sz w:val="20"/>
                <w:szCs w:val="20"/>
              </w:rPr>
              <w:t>.</w:t>
            </w:r>
          </w:p>
          <w:p w:rsidR="00550A5B" w:rsidRPr="006A4179" w:rsidRDefault="00550A5B" w:rsidP="006A4179">
            <w:pPr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t>3. Desarrollar un entendimiento de las teorías que hoy explican las políticas que se articulan en diferentes países y regiones económicas</w:t>
            </w:r>
            <w:r w:rsidR="004A0A7F" w:rsidRPr="006A4179">
              <w:rPr>
                <w:sz w:val="20"/>
                <w:szCs w:val="20"/>
              </w:rPr>
              <w:t xml:space="preserve"> (</w:t>
            </w:r>
            <w:r w:rsidR="00900AB7" w:rsidRPr="006A4179">
              <w:rPr>
                <w:sz w:val="20"/>
                <w:szCs w:val="20"/>
              </w:rPr>
              <w:t xml:space="preserve">principalmente el </w:t>
            </w:r>
            <w:r w:rsidR="004A0A7F" w:rsidRPr="006A4179">
              <w:rPr>
                <w:sz w:val="20"/>
                <w:szCs w:val="20"/>
              </w:rPr>
              <w:t xml:space="preserve">capitalismo y </w:t>
            </w:r>
            <w:r w:rsidR="00900AB7" w:rsidRPr="006A4179">
              <w:rPr>
                <w:sz w:val="20"/>
                <w:szCs w:val="20"/>
              </w:rPr>
              <w:t xml:space="preserve">el </w:t>
            </w:r>
            <w:r w:rsidR="004A0A7F" w:rsidRPr="006A4179">
              <w:rPr>
                <w:sz w:val="20"/>
                <w:szCs w:val="20"/>
              </w:rPr>
              <w:t>comunismo)</w:t>
            </w:r>
            <w:r w:rsidR="00B20BA3" w:rsidRPr="006A4179">
              <w:rPr>
                <w:sz w:val="20"/>
                <w:szCs w:val="20"/>
              </w:rPr>
              <w:t xml:space="preserve">, pero también las propuestas de los organismos internacionales que sugieren estrategias a partir de sus estudios globales. </w:t>
            </w:r>
            <w:r w:rsidR="00293C4F" w:rsidRPr="006A4179">
              <w:rPr>
                <w:sz w:val="20"/>
                <w:szCs w:val="20"/>
              </w:rPr>
              <w:t>Se estudiarán los organismos inte</w:t>
            </w:r>
            <w:r w:rsidR="00B20BA3" w:rsidRPr="006A4179">
              <w:rPr>
                <w:sz w:val="20"/>
                <w:szCs w:val="20"/>
              </w:rPr>
              <w:t>r</w:t>
            </w:r>
            <w:r w:rsidR="00293C4F" w:rsidRPr="006A4179">
              <w:rPr>
                <w:sz w:val="20"/>
                <w:szCs w:val="20"/>
              </w:rPr>
              <w:t xml:space="preserve">nacionales </w:t>
            </w:r>
            <w:r w:rsidR="00B20BA3" w:rsidRPr="006A4179">
              <w:rPr>
                <w:sz w:val="20"/>
                <w:szCs w:val="20"/>
              </w:rPr>
              <w:t xml:space="preserve">(ONU, UNDP, UNESCO, OCDE, etc.) </w:t>
            </w:r>
            <w:r w:rsidR="00293C4F" w:rsidRPr="006A4179">
              <w:rPr>
                <w:sz w:val="20"/>
                <w:szCs w:val="20"/>
              </w:rPr>
              <w:t xml:space="preserve">que se dedican a </w:t>
            </w:r>
            <w:r w:rsidR="00BC3825" w:rsidRPr="006A4179">
              <w:rPr>
                <w:sz w:val="20"/>
                <w:szCs w:val="20"/>
              </w:rPr>
              <w:t>analizar</w:t>
            </w:r>
            <w:r w:rsidR="00293C4F" w:rsidRPr="006A4179">
              <w:rPr>
                <w:sz w:val="20"/>
                <w:szCs w:val="20"/>
              </w:rPr>
              <w:t xml:space="preserve"> y construir indicadores para poder comparar a nivel internacional el desempeño de los países </w:t>
            </w:r>
            <w:proofErr w:type="gramStart"/>
            <w:r w:rsidR="00293C4F" w:rsidRPr="006A4179">
              <w:rPr>
                <w:sz w:val="20"/>
                <w:szCs w:val="20"/>
              </w:rPr>
              <w:t>de acuerdo a</w:t>
            </w:r>
            <w:proofErr w:type="gramEnd"/>
            <w:r w:rsidR="00293C4F" w:rsidRPr="006A4179">
              <w:rPr>
                <w:sz w:val="20"/>
                <w:szCs w:val="20"/>
              </w:rPr>
              <w:t xml:space="preserve"> sus resultados </w:t>
            </w:r>
            <w:r w:rsidR="00B20BA3" w:rsidRPr="006A4179">
              <w:rPr>
                <w:sz w:val="20"/>
                <w:szCs w:val="20"/>
              </w:rPr>
              <w:t xml:space="preserve">en diversos ámbitos como son los </w:t>
            </w:r>
            <w:r w:rsidR="00293C4F" w:rsidRPr="006A4179">
              <w:rPr>
                <w:sz w:val="20"/>
                <w:szCs w:val="20"/>
              </w:rPr>
              <w:t>ec</w:t>
            </w:r>
            <w:r w:rsidR="004A0A7F" w:rsidRPr="006A4179">
              <w:rPr>
                <w:sz w:val="20"/>
                <w:szCs w:val="20"/>
              </w:rPr>
              <w:t>onómicos, políticos</w:t>
            </w:r>
            <w:r w:rsidR="00B20BA3" w:rsidRPr="006A4179">
              <w:rPr>
                <w:sz w:val="20"/>
                <w:szCs w:val="20"/>
              </w:rPr>
              <w:t xml:space="preserve"> (sociales)</w:t>
            </w:r>
            <w:r w:rsidR="004A0A7F" w:rsidRPr="006A4179">
              <w:rPr>
                <w:sz w:val="20"/>
                <w:szCs w:val="20"/>
              </w:rPr>
              <w:t xml:space="preserve"> y educativos.</w:t>
            </w:r>
          </w:p>
          <w:p w:rsidR="00550A5B" w:rsidRPr="006A4179" w:rsidRDefault="00550A5B" w:rsidP="006A4179">
            <w:pPr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t>4. Conocer distintos</w:t>
            </w:r>
            <w:r w:rsidR="00B20BA3" w:rsidRPr="006A4179">
              <w:rPr>
                <w:sz w:val="20"/>
                <w:szCs w:val="20"/>
              </w:rPr>
              <w:t xml:space="preserve"> estudios empíricos,</w:t>
            </w:r>
            <w:r w:rsidRPr="006A4179">
              <w:rPr>
                <w:sz w:val="20"/>
                <w:szCs w:val="20"/>
              </w:rPr>
              <w:t xml:space="preserve"> </w:t>
            </w:r>
            <w:r w:rsidR="00B20BA3" w:rsidRPr="006A4179">
              <w:rPr>
                <w:sz w:val="20"/>
                <w:szCs w:val="20"/>
              </w:rPr>
              <w:t>y su análisis desde diversas propuestas teóricas,</w:t>
            </w:r>
            <w:r w:rsidRPr="006A4179">
              <w:rPr>
                <w:sz w:val="20"/>
                <w:szCs w:val="20"/>
              </w:rPr>
              <w:t xml:space="preserve"> que se han desarrollado a través de las últimas </w:t>
            </w:r>
            <w:r w:rsidR="00B20BA3" w:rsidRPr="006A4179">
              <w:rPr>
                <w:sz w:val="20"/>
                <w:szCs w:val="20"/>
              </w:rPr>
              <w:t>3</w:t>
            </w:r>
            <w:r w:rsidRPr="006A4179">
              <w:rPr>
                <w:sz w:val="20"/>
                <w:szCs w:val="20"/>
              </w:rPr>
              <w:t xml:space="preserve"> décadas en torno al </w:t>
            </w:r>
            <w:r w:rsidR="00B20BA3" w:rsidRPr="006A4179">
              <w:rPr>
                <w:sz w:val="20"/>
                <w:szCs w:val="20"/>
              </w:rPr>
              <w:t xml:space="preserve">desarrollo educativo, político y económico, así como sus interacciones. </w:t>
            </w:r>
            <w:r w:rsidR="00FF28B8" w:rsidRPr="006A4179">
              <w:rPr>
                <w:sz w:val="20"/>
                <w:szCs w:val="20"/>
              </w:rPr>
              <w:t>Específicamente las propuestas internacionales para promover los Derechos Humanos, así como las estrategias en favor del Crecimiento Incluyente.</w:t>
            </w:r>
          </w:p>
          <w:p w:rsidR="00813B97" w:rsidRPr="006A4179" w:rsidRDefault="00550A5B" w:rsidP="006A4179">
            <w:pPr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t>5. Visualizar las posibilidades de desarrollar investigaci</w:t>
            </w:r>
            <w:r w:rsidR="00FF28B8" w:rsidRPr="006A4179">
              <w:rPr>
                <w:sz w:val="20"/>
                <w:szCs w:val="20"/>
              </w:rPr>
              <w:t xml:space="preserve">ón y construir propuestas concretas en favor del Desarrollo Humano a nivel </w:t>
            </w:r>
            <w:proofErr w:type="gramStart"/>
            <w:r w:rsidR="00FF28B8" w:rsidRPr="006A4179">
              <w:rPr>
                <w:sz w:val="20"/>
                <w:szCs w:val="20"/>
              </w:rPr>
              <w:t xml:space="preserve">regional, </w:t>
            </w:r>
            <w:r w:rsidRPr="006A4179">
              <w:rPr>
                <w:sz w:val="20"/>
                <w:szCs w:val="20"/>
              </w:rPr>
              <w:t xml:space="preserve"> nacional</w:t>
            </w:r>
            <w:proofErr w:type="gramEnd"/>
            <w:r w:rsidRPr="006A4179">
              <w:rPr>
                <w:sz w:val="20"/>
                <w:szCs w:val="20"/>
              </w:rPr>
              <w:t xml:space="preserve">, </w:t>
            </w:r>
            <w:r w:rsidR="00FF28B8" w:rsidRPr="006A4179">
              <w:rPr>
                <w:sz w:val="20"/>
                <w:szCs w:val="20"/>
              </w:rPr>
              <w:t xml:space="preserve">e internacional, </w:t>
            </w:r>
            <w:r w:rsidRPr="006A4179">
              <w:rPr>
                <w:sz w:val="20"/>
                <w:szCs w:val="20"/>
              </w:rPr>
              <w:t xml:space="preserve">siguiendo </w:t>
            </w:r>
            <w:r w:rsidR="00FF28B8" w:rsidRPr="006A4179">
              <w:rPr>
                <w:sz w:val="20"/>
                <w:szCs w:val="20"/>
              </w:rPr>
              <w:t>las propuestas de organismos locales, regionales, nacionales e internacionales</w:t>
            </w:r>
            <w:r w:rsidRPr="006A4179">
              <w:rPr>
                <w:sz w:val="20"/>
                <w:szCs w:val="20"/>
              </w:rPr>
              <w:t>.</w:t>
            </w:r>
            <w:r w:rsidR="00AA6571" w:rsidRPr="006A4179">
              <w:rPr>
                <w:sz w:val="20"/>
                <w:szCs w:val="20"/>
              </w:rPr>
              <w:t xml:space="preserve"> </w:t>
            </w:r>
          </w:p>
        </w:tc>
      </w:tr>
      <w:tr w:rsidR="00813B97" w:rsidRPr="006A4179" w:rsidTr="006A4179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813B97" w:rsidRPr="006A417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813B97" w:rsidRPr="006A417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6A4179" w:rsidTr="006A4179">
        <w:trPr>
          <w:jc w:val="center"/>
        </w:trPr>
        <w:tc>
          <w:tcPr>
            <w:tcW w:w="2559" w:type="pct"/>
            <w:vAlign w:val="center"/>
          </w:tcPr>
          <w:p w:rsidR="00AA6571" w:rsidRPr="006A4179" w:rsidRDefault="00E92B77" w:rsidP="00E92B77">
            <w:pPr>
              <w:widowControl w:val="0"/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Revisión conceptual de los modelos políticos, económicos y educativos revisados a partir de la bibliografía básica.</w:t>
            </w:r>
          </w:p>
          <w:p w:rsidR="00E92B77" w:rsidRPr="006A4179" w:rsidRDefault="00E92B77" w:rsidP="00E92B77">
            <w:pPr>
              <w:widowControl w:val="0"/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 xml:space="preserve">Discusión a manera de seminario de las lecturas que serán revisadas en cada sesión del curso. </w:t>
            </w:r>
          </w:p>
          <w:p w:rsidR="00E92B77" w:rsidRPr="006A4179" w:rsidRDefault="00E92B77" w:rsidP="00E92B77">
            <w:pPr>
              <w:widowControl w:val="0"/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Elaboración de fichas de información, reportes de lectura y ensayos.</w:t>
            </w:r>
          </w:p>
        </w:tc>
        <w:tc>
          <w:tcPr>
            <w:tcW w:w="2441" w:type="pct"/>
            <w:vAlign w:val="center"/>
          </w:tcPr>
          <w:p w:rsidR="009721CE" w:rsidRPr="006A4179" w:rsidRDefault="009721CE" w:rsidP="009721CE">
            <w:pPr>
              <w:widowControl w:val="0"/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Pintarrón y marcadores.</w:t>
            </w:r>
          </w:p>
          <w:p w:rsidR="009721CE" w:rsidRPr="006A4179" w:rsidRDefault="009721CE" w:rsidP="009721CE">
            <w:pPr>
              <w:widowControl w:val="0"/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Computadora con acceso internet.</w:t>
            </w:r>
          </w:p>
          <w:p w:rsidR="00813B97" w:rsidRPr="006A4179" w:rsidRDefault="009721CE" w:rsidP="009721C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Otros sugeridos por el Profesor</w:t>
            </w:r>
          </w:p>
        </w:tc>
      </w:tr>
      <w:tr w:rsidR="00813B97" w:rsidRPr="006A4179" w:rsidTr="006A4179">
        <w:trPr>
          <w:trHeight w:val="56"/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813B97" w:rsidRPr="006A417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813B97" w:rsidRPr="006A4179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6A4179" w:rsidTr="006A4179">
        <w:trPr>
          <w:jc w:val="center"/>
        </w:trPr>
        <w:tc>
          <w:tcPr>
            <w:tcW w:w="2559" w:type="pct"/>
          </w:tcPr>
          <w:p w:rsidR="00E92B77" w:rsidRPr="006A4179" w:rsidRDefault="00E92B77" w:rsidP="00E92B77">
            <w:pPr>
              <w:widowControl w:val="0"/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Elaboración de reportes de lectura.</w:t>
            </w:r>
          </w:p>
          <w:p w:rsidR="00E92B77" w:rsidRPr="006A4179" w:rsidRDefault="00E92B77" w:rsidP="00E92B77">
            <w:pPr>
              <w:widowControl w:val="0"/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 xml:space="preserve">Ensayos </w:t>
            </w:r>
          </w:p>
          <w:p w:rsidR="00813B97" w:rsidRPr="006A4179" w:rsidRDefault="00813B97" w:rsidP="009721C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1" w:type="pct"/>
          </w:tcPr>
          <w:p w:rsidR="00813B97" w:rsidRPr="006A4179" w:rsidRDefault="00E92B77" w:rsidP="004A0A7F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Entrega de reportes de lectura antes de cada clase</w:t>
            </w:r>
          </w:p>
          <w:p w:rsidR="00E92B77" w:rsidRPr="006A4179" w:rsidRDefault="00E92B77" w:rsidP="004A0A7F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Elaboración de dos ensayos parciales y un ensayo final.</w:t>
            </w:r>
          </w:p>
          <w:p w:rsidR="00E92B77" w:rsidRPr="006A4179" w:rsidRDefault="00E92B77" w:rsidP="004A0A7F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lastRenderedPageBreak/>
              <w:t xml:space="preserve">Discusión de los ensayos entregados a modo de examen en cada parcial y al final del curso. </w:t>
            </w:r>
          </w:p>
        </w:tc>
      </w:tr>
    </w:tbl>
    <w:tbl>
      <w:tblPr>
        <w:tblpPr w:leftFromText="141" w:rightFromText="141" w:vertAnchor="text" w:horzAnchor="margin" w:tblpX="-147" w:tblpY="25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9"/>
        <w:gridCol w:w="3401"/>
      </w:tblGrid>
      <w:tr w:rsidR="00813B97" w:rsidRPr="006A4179" w:rsidTr="006A4179">
        <w:tc>
          <w:tcPr>
            <w:tcW w:w="9180" w:type="dxa"/>
            <w:gridSpan w:val="2"/>
            <w:shd w:val="clear" w:color="auto" w:fill="5B9BD5" w:themeFill="accent5"/>
          </w:tcPr>
          <w:p w:rsidR="00813B97" w:rsidRPr="006A4179" w:rsidRDefault="00813B97" w:rsidP="004A0A7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6A4179" w:rsidRPr="006A4179" w:rsidTr="006A4179">
        <w:tc>
          <w:tcPr>
            <w:tcW w:w="5211" w:type="dxa"/>
            <w:shd w:val="clear" w:color="auto" w:fill="5B9BD5" w:themeFill="accent5"/>
          </w:tcPr>
          <w:p w:rsidR="00813B97" w:rsidRPr="006A417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3969" w:type="dxa"/>
            <w:shd w:val="clear" w:color="auto" w:fill="5B9BD5" w:themeFill="accent5"/>
            <w:vAlign w:val="center"/>
          </w:tcPr>
          <w:p w:rsidR="00813B97" w:rsidRPr="006A417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A4179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6A4179" w:rsidRPr="006A4179" w:rsidTr="006A4179">
        <w:tc>
          <w:tcPr>
            <w:tcW w:w="5211" w:type="dxa"/>
          </w:tcPr>
          <w:p w:rsidR="00996B9F" w:rsidRPr="006A4179" w:rsidRDefault="00996B9F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C22EE0" w:rsidRDefault="001D7CA3" w:rsidP="006A4179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 xml:space="preserve">Berman, Marshal; </w:t>
            </w:r>
            <w:r w:rsidRPr="006A4179">
              <w:rPr>
                <w:rFonts w:eastAsia="Times New Roman" w:cs="Arial"/>
                <w:i/>
                <w:sz w:val="20"/>
                <w:szCs w:val="20"/>
                <w:lang w:val="es-ES"/>
              </w:rPr>
              <w:t>Todo lo sólido se desvanece en el aire. La experiencia de la modernidad.</w:t>
            </w: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 xml:space="preserve"> Ed. S XXI. 2011</w:t>
            </w:r>
            <w:r w:rsidR="00C22EE0" w:rsidRPr="006A4179">
              <w:rPr>
                <w:sz w:val="20"/>
                <w:szCs w:val="20"/>
              </w:rPr>
              <w:t xml:space="preserve"> </w:t>
            </w:r>
          </w:p>
          <w:p w:rsidR="006A4179" w:rsidRPr="006A4179" w:rsidRDefault="006A4179" w:rsidP="006A4179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  <w:p w:rsidR="00C22EE0" w:rsidRDefault="00C22EE0" w:rsidP="006A4179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t xml:space="preserve">García, Rolando; </w:t>
            </w:r>
            <w:r w:rsidRPr="006A4179">
              <w:rPr>
                <w:i/>
                <w:sz w:val="20"/>
                <w:szCs w:val="20"/>
              </w:rPr>
              <w:t>El conocimiento en construcción</w:t>
            </w:r>
            <w:r w:rsidRPr="006A4179">
              <w:rPr>
                <w:sz w:val="20"/>
                <w:szCs w:val="20"/>
              </w:rPr>
              <w:t>; Gedisa. México. 2000</w:t>
            </w:r>
          </w:p>
          <w:p w:rsidR="006A4179" w:rsidRPr="006A4179" w:rsidRDefault="006A4179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1D7CA3" w:rsidRDefault="00C22EE0" w:rsidP="006A4179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6A4179">
              <w:rPr>
                <w:sz w:val="20"/>
                <w:szCs w:val="20"/>
              </w:rPr>
              <w:t xml:space="preserve">García, Rolando; </w:t>
            </w:r>
            <w:r w:rsidRPr="006A4179">
              <w:rPr>
                <w:i/>
                <w:sz w:val="20"/>
                <w:szCs w:val="20"/>
              </w:rPr>
              <w:t>Sistemas complejos</w:t>
            </w:r>
            <w:r w:rsidRPr="006A4179">
              <w:rPr>
                <w:sz w:val="20"/>
                <w:szCs w:val="20"/>
              </w:rPr>
              <w:t>; Gedisa. México. 2006</w:t>
            </w:r>
          </w:p>
          <w:p w:rsidR="006A4179" w:rsidRPr="006A4179" w:rsidRDefault="006A4179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1D7CA3" w:rsidRDefault="00417D5A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proofErr w:type="spellStart"/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>Piketty</w:t>
            </w:r>
            <w:proofErr w:type="spellEnd"/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 xml:space="preserve">, Thomas, </w:t>
            </w:r>
            <w:r w:rsidRPr="006A4179">
              <w:rPr>
                <w:rFonts w:eastAsia="Times New Roman" w:cs="Arial"/>
                <w:i/>
                <w:sz w:val="20"/>
                <w:szCs w:val="20"/>
                <w:lang w:val="es-ES"/>
              </w:rPr>
              <w:t>El capital en el siglo XXI</w:t>
            </w: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>. FCE. México. 2014</w:t>
            </w:r>
            <w:r w:rsidR="006A4179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</w:p>
          <w:p w:rsidR="006A4179" w:rsidRPr="006A4179" w:rsidRDefault="006A4179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1D7CA3" w:rsidRDefault="001D7CA3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 xml:space="preserve">Rawls, John; </w:t>
            </w:r>
            <w:r w:rsidRPr="006A4179">
              <w:rPr>
                <w:rFonts w:eastAsia="Times New Roman" w:cs="Arial"/>
                <w:i/>
                <w:sz w:val="20"/>
                <w:szCs w:val="20"/>
                <w:lang w:val="es-ES"/>
              </w:rPr>
              <w:t>El liberalismo político</w:t>
            </w: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 xml:space="preserve">. FCE, UNAM. México. 1995. </w:t>
            </w:r>
          </w:p>
          <w:p w:rsidR="006A4179" w:rsidRPr="006A4179" w:rsidRDefault="006A4179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1D7CA3" w:rsidRPr="006A4179" w:rsidRDefault="001D7CA3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proofErr w:type="spellStart"/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>Sen</w:t>
            </w:r>
            <w:proofErr w:type="spellEnd"/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 xml:space="preserve">, Amartya, </w:t>
            </w:r>
            <w:r w:rsidRPr="006A4179">
              <w:rPr>
                <w:rFonts w:eastAsia="Times New Roman" w:cs="Arial"/>
                <w:i/>
                <w:sz w:val="20"/>
                <w:szCs w:val="20"/>
                <w:lang w:val="es-ES"/>
              </w:rPr>
              <w:t>La idea de la justicia</w:t>
            </w: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>. Ed. Taurus. 2010</w:t>
            </w:r>
          </w:p>
          <w:p w:rsidR="006A4179" w:rsidRDefault="006A4179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1D7CA3" w:rsidRPr="006A4179" w:rsidRDefault="001D7CA3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>Reportes anuales del Programa de Naciones Unidas para el Desarrollo. Descargar de:</w:t>
            </w:r>
          </w:p>
          <w:p w:rsidR="001D7CA3" w:rsidRPr="006A4179" w:rsidRDefault="00D129FE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hyperlink r:id="rId7" w:history="1">
              <w:r w:rsidR="001D7CA3" w:rsidRPr="006A4179">
                <w:rPr>
                  <w:rStyle w:val="Hipervnculo"/>
                  <w:rFonts w:eastAsia="Times New Roman" w:cs="Arial"/>
                  <w:sz w:val="20"/>
                  <w:szCs w:val="20"/>
                  <w:lang w:val="es-ES"/>
                </w:rPr>
                <w:t>http://www.undp.org/content/undp/es/home/librarypage/hdr.html</w:t>
              </w:r>
            </w:hyperlink>
          </w:p>
          <w:p w:rsidR="001D7CA3" w:rsidRPr="006A4179" w:rsidRDefault="001D7CA3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1D7CA3" w:rsidRPr="006A4179" w:rsidRDefault="001D7CA3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6A4179">
              <w:rPr>
                <w:rFonts w:eastAsia="Times New Roman" w:cs="Arial"/>
                <w:i/>
                <w:sz w:val="20"/>
                <w:szCs w:val="20"/>
                <w:lang w:val="es-ES"/>
              </w:rPr>
              <w:t>Panoramas de la Educación</w:t>
            </w: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 xml:space="preserve"> de la OCDE. Descargar </w:t>
            </w:r>
            <w:proofErr w:type="gramStart"/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>de::</w:t>
            </w:r>
            <w:proofErr w:type="gramEnd"/>
          </w:p>
          <w:p w:rsidR="00FF2D6D" w:rsidRPr="006A4179" w:rsidRDefault="00D129FE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hyperlink r:id="rId8" w:history="1">
              <w:r w:rsidR="00FF2D6D" w:rsidRPr="006A4179">
                <w:rPr>
                  <w:rStyle w:val="Hipervnculo"/>
                  <w:rFonts w:eastAsia="Times New Roman" w:cs="Arial"/>
                  <w:sz w:val="20"/>
                  <w:szCs w:val="20"/>
                  <w:lang w:val="es-ES"/>
                </w:rPr>
                <w:t>http://www.oecd-ilibrary.org/sites/7da6001b-es/index.html?itemId=/content/summary/7da6001b-es&amp;mimeType=text/html</w:t>
              </w:r>
            </w:hyperlink>
          </w:p>
          <w:p w:rsidR="001D7CA3" w:rsidRPr="006A4179" w:rsidRDefault="001D7CA3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1D7CA3" w:rsidRPr="006A4179" w:rsidRDefault="001D7CA3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 xml:space="preserve">OCDE-UGTO; </w:t>
            </w:r>
            <w:r w:rsidRPr="006A4179">
              <w:rPr>
                <w:rFonts w:eastAsia="Times New Roman" w:cs="Arial"/>
                <w:i/>
                <w:sz w:val="20"/>
                <w:szCs w:val="20"/>
                <w:lang w:val="es-ES"/>
              </w:rPr>
              <w:t>Todo mundo a bordo: lograr el crecimiento incluyente</w:t>
            </w:r>
            <w:r w:rsidRPr="006A4179">
              <w:rPr>
                <w:rFonts w:eastAsia="Times New Roman" w:cs="Arial"/>
                <w:sz w:val="20"/>
                <w:szCs w:val="20"/>
                <w:lang w:val="es-ES"/>
              </w:rPr>
              <w:t>. México 2016. Descargar de:</w:t>
            </w:r>
          </w:p>
          <w:p w:rsidR="001D7CA3" w:rsidRPr="006A4179" w:rsidRDefault="00D129FE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hyperlink r:id="rId9" w:anchor="page1" w:history="1">
              <w:r w:rsidR="00FF2D6D" w:rsidRPr="006A4179">
                <w:rPr>
                  <w:rStyle w:val="Hipervnculo"/>
                  <w:rFonts w:eastAsia="Times New Roman" w:cs="Arial"/>
                  <w:sz w:val="20"/>
                  <w:szCs w:val="20"/>
                  <w:lang w:val="es-ES"/>
                </w:rPr>
                <w:t>http://www.keepeek.com/Digital-Asset-Management/oecd/development/todo-mundo-a-bordo_9789264257276-es#page1</w:t>
              </w:r>
            </w:hyperlink>
          </w:p>
          <w:p w:rsidR="00417D5A" w:rsidRPr="006A4179" w:rsidRDefault="00417D5A" w:rsidP="006A417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1D7CA3" w:rsidRPr="006A4179" w:rsidRDefault="001D7CA3" w:rsidP="00E92B77">
            <w:pPr>
              <w:spacing w:after="0" w:line="360" w:lineRule="auto"/>
              <w:ind w:left="11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  <w:p w:rsidR="00813B97" w:rsidRPr="006A4179" w:rsidRDefault="00E92B77" w:rsidP="00E92B77">
            <w:pPr>
              <w:spacing w:after="0" w:line="360" w:lineRule="auto"/>
              <w:ind w:left="11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Hemerográficas</w:t>
            </w:r>
          </w:p>
          <w:p w:rsidR="00E92B77" w:rsidRPr="006A4179" w:rsidRDefault="00E92B77" w:rsidP="00E92B77">
            <w:pPr>
              <w:spacing w:after="0" w:line="360" w:lineRule="auto"/>
              <w:ind w:left="110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6A4179">
              <w:rPr>
                <w:rFonts w:cs="Arial"/>
                <w:sz w:val="20"/>
                <w:szCs w:val="20"/>
              </w:rPr>
              <w:t>Videográficas</w:t>
            </w:r>
          </w:p>
          <w:p w:rsidR="00E92B77" w:rsidRPr="006A4179" w:rsidRDefault="00E92B77" w:rsidP="00E92B7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E92B77" w:rsidRPr="006A4179" w:rsidRDefault="00E92B77" w:rsidP="00E92B77">
            <w:pPr>
              <w:spacing w:after="0" w:line="360" w:lineRule="auto"/>
              <w:ind w:left="11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13B97" w:rsidRPr="006A4179" w:rsidRDefault="00813B97" w:rsidP="00813B97">
      <w:pPr>
        <w:spacing w:before="300" w:after="0"/>
        <w:rPr>
          <w:sz w:val="20"/>
          <w:szCs w:val="20"/>
        </w:rPr>
      </w:pPr>
    </w:p>
    <w:p w:rsidR="00813B97" w:rsidRPr="006A4179" w:rsidRDefault="00813B97">
      <w:pPr>
        <w:rPr>
          <w:sz w:val="20"/>
          <w:szCs w:val="20"/>
        </w:rPr>
      </w:pPr>
    </w:p>
    <w:p w:rsidR="00813B97" w:rsidRPr="006A4179" w:rsidRDefault="00813B97">
      <w:pPr>
        <w:rPr>
          <w:sz w:val="20"/>
          <w:szCs w:val="20"/>
        </w:rPr>
      </w:pPr>
    </w:p>
    <w:sectPr w:rsidR="00813B97" w:rsidRPr="006A4179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9FE" w:rsidRDefault="00D129FE" w:rsidP="00AA6571">
      <w:pPr>
        <w:spacing w:after="0" w:line="240" w:lineRule="auto"/>
      </w:pPr>
      <w:r>
        <w:separator/>
      </w:r>
    </w:p>
  </w:endnote>
  <w:endnote w:type="continuationSeparator" w:id="0">
    <w:p w:rsidR="00D129FE" w:rsidRDefault="00D129FE" w:rsidP="00AA6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Gandhi Sans"/>
    <w:panose1 w:val="00000000000000000000"/>
    <w:charset w:val="00"/>
    <w:family w:val="modern"/>
    <w:notTrueType/>
    <w:pitch w:val="variable"/>
    <w:sig w:usb0="00000003" w:usb1="5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9FE" w:rsidRDefault="00D129FE" w:rsidP="00AA6571">
      <w:pPr>
        <w:spacing w:after="0" w:line="240" w:lineRule="auto"/>
      </w:pPr>
      <w:r>
        <w:separator/>
      </w:r>
    </w:p>
  </w:footnote>
  <w:footnote w:type="continuationSeparator" w:id="0">
    <w:p w:rsidR="00D129FE" w:rsidRDefault="00D129FE" w:rsidP="00AA6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6A4179" w:rsidRPr="004B10D1" w:rsidTr="008330F3">
      <w:trPr>
        <w:trHeight w:val="600"/>
      </w:trPr>
      <w:tc>
        <w:tcPr>
          <w:tcW w:w="9968" w:type="dxa"/>
          <w:vAlign w:val="center"/>
        </w:tcPr>
        <w:p w:rsidR="006A4179" w:rsidRPr="0090363F" w:rsidRDefault="006A4179" w:rsidP="006A4179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 xml:space="preserve">Modelos </w:t>
          </w:r>
          <w:r>
            <w:rPr>
              <w:rFonts w:ascii="Cambria" w:hAnsi="Cambria"/>
              <w:i/>
              <w:szCs w:val="26"/>
            </w:rPr>
            <w:t>político-económico de la educación</w:t>
          </w:r>
        </w:p>
      </w:tc>
      <w:tc>
        <w:tcPr>
          <w:tcW w:w="2786" w:type="dxa"/>
        </w:tcPr>
        <w:p w:rsidR="006A4179" w:rsidRPr="004B10D1" w:rsidRDefault="006A4179" w:rsidP="006A4179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9A53E5" wp14:editId="3F915986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6A4179" w:rsidRDefault="006A417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369B3"/>
    <w:multiLevelType w:val="hybridMultilevel"/>
    <w:tmpl w:val="954C31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136BE"/>
    <w:rsid w:val="000C01C2"/>
    <w:rsid w:val="00143D45"/>
    <w:rsid w:val="001D7CA3"/>
    <w:rsid w:val="00293C4F"/>
    <w:rsid w:val="002E2BFB"/>
    <w:rsid w:val="002F4EBD"/>
    <w:rsid w:val="003649C8"/>
    <w:rsid w:val="00383FA3"/>
    <w:rsid w:val="00413C89"/>
    <w:rsid w:val="00417D5A"/>
    <w:rsid w:val="004A0A7F"/>
    <w:rsid w:val="004B0FA1"/>
    <w:rsid w:val="00550A5B"/>
    <w:rsid w:val="00583E30"/>
    <w:rsid w:val="005F0C0E"/>
    <w:rsid w:val="0061497C"/>
    <w:rsid w:val="006A4179"/>
    <w:rsid w:val="006D46E9"/>
    <w:rsid w:val="006F7859"/>
    <w:rsid w:val="00813B97"/>
    <w:rsid w:val="008C6000"/>
    <w:rsid w:val="008F71DB"/>
    <w:rsid w:val="00900AB7"/>
    <w:rsid w:val="00915085"/>
    <w:rsid w:val="009526FA"/>
    <w:rsid w:val="00954ABD"/>
    <w:rsid w:val="009721CE"/>
    <w:rsid w:val="009913BB"/>
    <w:rsid w:val="00996B9F"/>
    <w:rsid w:val="009C560A"/>
    <w:rsid w:val="00A525A1"/>
    <w:rsid w:val="00AA6571"/>
    <w:rsid w:val="00B06900"/>
    <w:rsid w:val="00B20BA3"/>
    <w:rsid w:val="00BC3825"/>
    <w:rsid w:val="00C22EE0"/>
    <w:rsid w:val="00C26F5F"/>
    <w:rsid w:val="00C95564"/>
    <w:rsid w:val="00CA2C45"/>
    <w:rsid w:val="00D129FE"/>
    <w:rsid w:val="00D5020D"/>
    <w:rsid w:val="00DE4B9A"/>
    <w:rsid w:val="00E47BA3"/>
    <w:rsid w:val="00E816F1"/>
    <w:rsid w:val="00E92B77"/>
    <w:rsid w:val="00EA73F9"/>
    <w:rsid w:val="00ED4943"/>
    <w:rsid w:val="00F12D51"/>
    <w:rsid w:val="00F348E2"/>
    <w:rsid w:val="00F54DDF"/>
    <w:rsid w:val="00FA3DC2"/>
    <w:rsid w:val="00FD0156"/>
    <w:rsid w:val="00FF28B8"/>
    <w:rsid w:val="00FF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441A5"/>
  <w15:docId w15:val="{B2C0FDEB-DDA1-488A-9FBF-6B39087E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954ABD"/>
    <w:rPr>
      <w:rFonts w:cs="Gandhi Sans"/>
      <w:color w:val="000000"/>
      <w:sz w:val="20"/>
      <w:szCs w:val="20"/>
    </w:rPr>
  </w:style>
  <w:style w:type="paragraph" w:styleId="Prrafodelista">
    <w:name w:val="List Paragraph"/>
    <w:basedOn w:val="Normal"/>
    <w:uiPriority w:val="34"/>
    <w:qFormat/>
    <w:rsid w:val="00FD01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A65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657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A65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571"/>
    <w:rPr>
      <w:rFonts w:eastAsiaTheme="minorEastAsia"/>
      <w:lang w:eastAsia="es-MX"/>
    </w:rPr>
  </w:style>
  <w:style w:type="character" w:styleId="Hipervnculo">
    <w:name w:val="Hyperlink"/>
    <w:basedOn w:val="Fuentedeprrafopredeter"/>
    <w:uiPriority w:val="99"/>
    <w:unhideWhenUsed/>
    <w:rsid w:val="001D7C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5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cd-ilibrary.org/sites/7da6001b-es/index.html?itemId=/content/summary/7da6001b-es&amp;mimeType=text/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dp.org/content/undp/es/home/librarypage/hdr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eepeek.com/Digital-Asset-Management/oecd/development/todo-mundo-a-bordo_9789264257276-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1515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2018-01-30T04:19:00Z</dcterms:created>
  <dcterms:modified xsi:type="dcterms:W3CDTF">2018-05-08T20:54:00Z</dcterms:modified>
</cp:coreProperties>
</file>