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123"/>
        <w:tblW w:w="514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624"/>
        <w:gridCol w:w="204"/>
        <w:gridCol w:w="494"/>
        <w:gridCol w:w="175"/>
        <w:gridCol w:w="118"/>
        <w:gridCol w:w="177"/>
        <w:gridCol w:w="137"/>
        <w:gridCol w:w="286"/>
        <w:gridCol w:w="175"/>
        <w:gridCol w:w="299"/>
        <w:gridCol w:w="628"/>
        <w:gridCol w:w="255"/>
        <w:gridCol w:w="419"/>
        <w:gridCol w:w="291"/>
        <w:gridCol w:w="876"/>
        <w:gridCol w:w="35"/>
        <w:gridCol w:w="168"/>
        <w:gridCol w:w="31"/>
        <w:gridCol w:w="250"/>
        <w:gridCol w:w="291"/>
        <w:gridCol w:w="18"/>
        <w:gridCol w:w="40"/>
        <w:gridCol w:w="144"/>
        <w:gridCol w:w="58"/>
        <w:gridCol w:w="523"/>
        <w:gridCol w:w="26"/>
        <w:gridCol w:w="204"/>
        <w:gridCol w:w="231"/>
        <w:gridCol w:w="33"/>
        <w:gridCol w:w="545"/>
        <w:gridCol w:w="16"/>
        <w:gridCol w:w="541"/>
        <w:gridCol w:w="25"/>
      </w:tblGrid>
      <w:tr w:rsidR="00813B97" w:rsidRPr="004A67E0" w14:paraId="7BA30AA6" w14:textId="77777777" w:rsidTr="00E5004B">
        <w:trPr>
          <w:gridAfter w:val="1"/>
          <w:wAfter w:w="14" w:type="pct"/>
          <w:trHeight w:hRule="exact" w:val="510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1C5C103" w14:textId="77777777" w:rsidR="00813B97" w:rsidRPr="004A67E0" w:rsidRDefault="00CF468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bookmarkStart w:id="0" w:name="h.scrlh75ddt3f" w:colFirst="0" w:colLast="0"/>
            <w:bookmarkEnd w:id="0"/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ENTIDAD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8A6F7A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35791" w14:textId="77777777" w:rsidR="00813B97" w:rsidRPr="004A67E0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Campus Guanajuato, División de Ciencias Sociales y Humanidades</w:t>
            </w:r>
          </w:p>
        </w:tc>
      </w:tr>
      <w:tr w:rsidR="00813B97" w:rsidRPr="004A67E0" w14:paraId="5C21AC62" w14:textId="77777777" w:rsidTr="00E5004B">
        <w:trPr>
          <w:gridAfter w:val="1"/>
          <w:wAfter w:w="14" w:type="pct"/>
          <w:trHeight w:hRule="exact" w:val="19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C6C41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1CD74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14:paraId="40A3E529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  <w:bottom w:val="single" w:sz="4" w:space="0" w:color="000000"/>
            </w:tcBorders>
            <w:vAlign w:val="center"/>
          </w:tcPr>
          <w:p w14:paraId="6A9B1FD9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3F2DCDE3" w14:textId="77777777" w:rsidTr="00E5004B">
        <w:trPr>
          <w:gridAfter w:val="1"/>
          <w:wAfter w:w="14" w:type="pct"/>
          <w:trHeight w:hRule="exact" w:val="584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2DF22AA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PROGRAMA EDUCATIVO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419F4A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890F5" w14:textId="77777777" w:rsidR="00813B97" w:rsidRPr="004A67E0" w:rsidRDefault="00B0690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Licenciatura en Educación</w:t>
            </w:r>
          </w:p>
        </w:tc>
      </w:tr>
      <w:tr w:rsidR="00813B97" w:rsidRPr="004A67E0" w14:paraId="29B39DA5" w14:textId="77777777" w:rsidTr="00E5004B">
        <w:trPr>
          <w:gridAfter w:val="1"/>
          <w:wAfter w:w="14" w:type="pct"/>
          <w:trHeight w:hRule="exact" w:val="155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050DC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05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AE821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14:paraId="19581C86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347" w:type="pct"/>
            <w:gridSpan w:val="24"/>
            <w:tcBorders>
              <w:left w:val="nil"/>
            </w:tcBorders>
            <w:vAlign w:val="center"/>
          </w:tcPr>
          <w:p w14:paraId="644AEEAF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75856FAF" w14:textId="77777777" w:rsidTr="00E5004B">
        <w:trPr>
          <w:gridAfter w:val="1"/>
          <w:wAfter w:w="14" w:type="pct"/>
          <w:trHeight w:hRule="exact" w:val="592"/>
        </w:trPr>
        <w:tc>
          <w:tcPr>
            <w:tcW w:w="148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AB39642" w14:textId="77777777" w:rsidR="00813B97" w:rsidRPr="004A67E0" w:rsidRDefault="00F54DDF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UNIDAD DE APRENDIZAJE</w:t>
            </w:r>
          </w:p>
        </w:tc>
        <w:tc>
          <w:tcPr>
            <w:tcW w:w="157" w:type="pc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986195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8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4516B" w14:textId="77777777" w:rsidR="00813B97" w:rsidRPr="004A67E0" w:rsidRDefault="00D1702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Teoría curricular</w:t>
            </w:r>
          </w:p>
        </w:tc>
        <w:tc>
          <w:tcPr>
            <w:tcW w:w="170" w:type="pct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1449DE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7D6294DF" w14:textId="77777777" w:rsidR="00813B97" w:rsidRPr="004A67E0" w:rsidRDefault="00CF4684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CLAVE</w:t>
            </w: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B4C6E7" w:themeFill="accent1" w:themeFillTint="66"/>
            <w:vAlign w:val="center"/>
          </w:tcPr>
          <w:p w14:paraId="49F63D4D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69A8A6B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7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CDD5F" w14:textId="77777777" w:rsidR="00813B97" w:rsidRPr="004A67E0" w:rsidRDefault="00E5004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SHLI05333</w:t>
            </w:r>
          </w:p>
        </w:tc>
      </w:tr>
      <w:tr w:rsidR="00813B97" w:rsidRPr="004A67E0" w14:paraId="63C733FB" w14:textId="77777777" w:rsidTr="00D13567">
        <w:trPr>
          <w:gridAfter w:val="1"/>
          <w:wAfter w:w="14" w:type="pct"/>
          <w:trHeight w:hRule="exact" w:val="137"/>
        </w:trPr>
        <w:tc>
          <w:tcPr>
            <w:tcW w:w="4986" w:type="pct"/>
            <w:gridSpan w:val="33"/>
            <w:shd w:val="clear" w:color="auto" w:fill="FFFFFF"/>
            <w:vAlign w:val="center"/>
          </w:tcPr>
          <w:p w14:paraId="1B1A7540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  <w:p w14:paraId="6110E8A5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  <w:p w14:paraId="60B9FE52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  <w:p w14:paraId="5A5E7DB5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  <w:p w14:paraId="7609747F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1A791E3E" w14:textId="77777777" w:rsidTr="00E5004B">
        <w:trPr>
          <w:gridAfter w:val="1"/>
          <w:wAfter w:w="14" w:type="pct"/>
          <w:trHeight w:val="291"/>
        </w:trPr>
        <w:tc>
          <w:tcPr>
            <w:tcW w:w="7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6C220A29" w14:textId="77777777" w:rsidR="00813B97" w:rsidRPr="004A67E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FECHA DE APROBACIÓN</w:t>
            </w:r>
          </w:p>
        </w:tc>
        <w:tc>
          <w:tcPr>
            <w:tcW w:w="112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ECA8E6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86FDF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88A2A4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AD4453F" w14:textId="77777777" w:rsidR="00813B97" w:rsidRPr="004A67E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FECHA DE ACTUALIZACIÓN</w:t>
            </w:r>
          </w:p>
        </w:tc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71494B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5A00F" w14:textId="77777777" w:rsidR="00813B97" w:rsidRPr="004A67E0" w:rsidRDefault="00E5004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09/02/18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AA22D0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5B06445A" w14:textId="77777777" w:rsidR="00813B97" w:rsidRPr="004A67E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ELABORÓ</w:t>
            </w:r>
          </w:p>
        </w:tc>
      </w:tr>
      <w:tr w:rsidR="00813B97" w:rsidRPr="004A67E0" w14:paraId="136118B9" w14:textId="77777777" w:rsidTr="00E5004B">
        <w:trPr>
          <w:gridAfter w:val="1"/>
          <w:wAfter w:w="14" w:type="pct"/>
          <w:trHeight w:val="254"/>
        </w:trPr>
        <w:tc>
          <w:tcPr>
            <w:tcW w:w="7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3389F96E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32C0AF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603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6DD9A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404998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7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16540E3C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B2C83F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8F86C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11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1F1169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62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E29B" w14:textId="77777777" w:rsidR="00813B97" w:rsidRPr="004A67E0" w:rsidRDefault="00D1702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Cirila Cervera Delgado</w:t>
            </w:r>
          </w:p>
        </w:tc>
      </w:tr>
      <w:tr w:rsidR="00813B97" w:rsidRPr="004A67E0" w14:paraId="4531385A" w14:textId="77777777" w:rsidTr="00D13567">
        <w:trPr>
          <w:trHeight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FE1E78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E389FB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20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813B97" w:rsidRPr="004A67E0" w14:paraId="78CCDDD1" w14:textId="77777777" w:rsidTr="00E5004B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C4BAA31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DE TRABAJO</w:t>
            </w:r>
            <w:r w:rsidR="006D46E9"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 xml:space="preserve"> DEL ESTUDIANTE CON EL PROFESOR</w:t>
            </w:r>
          </w:p>
        </w:tc>
        <w:tc>
          <w:tcPr>
            <w:tcW w:w="16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D6F1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EBDC8" w14:textId="77777777" w:rsidR="00813B97" w:rsidRPr="004A67E0" w:rsidRDefault="00786FDB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72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38084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0A862026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 xml:space="preserve">HORAS DE </w:t>
            </w:r>
            <w:r w:rsidR="006D46E9"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TRABAJO AUTÓNOMO DEL ESTUDIANTE</w:t>
            </w:r>
          </w:p>
        </w:tc>
        <w:tc>
          <w:tcPr>
            <w:tcW w:w="10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FD43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FDAAA" w14:textId="77777777" w:rsidR="00813B97" w:rsidRPr="004A67E0" w:rsidRDefault="00423570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53</w:t>
            </w:r>
          </w:p>
        </w:tc>
        <w:tc>
          <w:tcPr>
            <w:tcW w:w="11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F4981A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47C104F" w14:textId="77777777" w:rsidR="00813B97" w:rsidRPr="004A67E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CRÉDITOS</w:t>
            </w:r>
          </w:p>
        </w:tc>
        <w:tc>
          <w:tcPr>
            <w:tcW w:w="18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A9212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2A18A" w14:textId="77777777" w:rsidR="00813B97" w:rsidRPr="004A67E0" w:rsidRDefault="00D1702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5</w:t>
            </w:r>
          </w:p>
        </w:tc>
        <w:tc>
          <w:tcPr>
            <w:tcW w:w="29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25A3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44B991F5" w14:textId="77777777" w:rsidTr="00E5004B">
        <w:trPr>
          <w:gridAfter w:val="1"/>
          <w:wAfter w:w="14" w:type="pct"/>
          <w:trHeight w:val="450"/>
        </w:trPr>
        <w:tc>
          <w:tcPr>
            <w:tcW w:w="12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666681A7" w14:textId="77777777" w:rsidR="00813B97" w:rsidRPr="004A67E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SEMANA/SEMESTRE</w:t>
            </w:r>
          </w:p>
        </w:tc>
        <w:tc>
          <w:tcPr>
            <w:tcW w:w="162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88BEB6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08F3D4" w14:textId="77777777" w:rsidR="00813B97" w:rsidRPr="004A67E0" w:rsidRDefault="00D17023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4</w:t>
            </w:r>
          </w:p>
        </w:tc>
        <w:tc>
          <w:tcPr>
            <w:tcW w:w="164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7EF031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vAlign w:val="center"/>
          </w:tcPr>
          <w:p w14:paraId="44D18262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HORAS TO</w:t>
            </w:r>
            <w:r w:rsidR="006D46E9"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TALES DE TRABAJO DEL ESTUDIANTE</w:t>
            </w:r>
          </w:p>
        </w:tc>
        <w:tc>
          <w:tcPr>
            <w:tcW w:w="10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C9BC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F0CDC" w14:textId="77777777" w:rsidR="00813B97" w:rsidRPr="004A67E0" w:rsidRDefault="00786FDB" w:rsidP="00E50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125</w:t>
            </w:r>
          </w:p>
        </w:tc>
        <w:tc>
          <w:tcPr>
            <w:tcW w:w="11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FD2C6A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540" w:type="pct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449DA5D7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8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EFFFF2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AD4C3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FB67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7CD29330" w14:textId="77777777" w:rsidTr="00D13567">
        <w:trPr>
          <w:gridAfter w:val="1"/>
          <w:wAfter w:w="14" w:type="pct"/>
          <w:trHeight w:hRule="exact" w:val="182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21414B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3E3C97D3" w14:textId="77777777" w:rsidTr="00E5004B">
        <w:trPr>
          <w:gridAfter w:val="1"/>
          <w:wAfter w:w="14" w:type="pct"/>
          <w:trHeight w:val="522"/>
        </w:trPr>
        <w:tc>
          <w:tcPr>
            <w:tcW w:w="11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35659A70" w14:textId="77777777" w:rsidR="00813B97" w:rsidRPr="004A67E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NORMATIVOS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29A39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93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4346E3" w14:textId="77777777" w:rsidR="00813B97" w:rsidRPr="004A67E0" w:rsidRDefault="0060102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14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3458F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12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019069A7" w14:textId="77777777" w:rsidR="00813B97" w:rsidRPr="004A67E0" w:rsidRDefault="006D46E9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color w:val="FFFFFF" w:themeColor="background1"/>
                <w:spacing w:val="-1"/>
                <w:sz w:val="20"/>
                <w:szCs w:val="20"/>
              </w:rPr>
              <w:t>PRERREQUISITOS RECOMENDABLES</w:t>
            </w:r>
          </w:p>
        </w:tc>
        <w:tc>
          <w:tcPr>
            <w:tcW w:w="111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1D1F5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  <w:tc>
          <w:tcPr>
            <w:tcW w:w="88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5076E0" w14:textId="77777777" w:rsidR="00813B97" w:rsidRPr="004A67E0" w:rsidRDefault="0060102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Ninguno</w:t>
            </w:r>
          </w:p>
        </w:tc>
        <w:tc>
          <w:tcPr>
            <w:tcW w:w="306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D50AC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52A402CB" w14:textId="77777777" w:rsidTr="00D13567">
        <w:trPr>
          <w:gridAfter w:val="1"/>
          <w:wAfter w:w="14" w:type="pct"/>
          <w:trHeight w:val="119"/>
        </w:trPr>
        <w:tc>
          <w:tcPr>
            <w:tcW w:w="4986" w:type="pct"/>
            <w:gridSpan w:val="3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93C1D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2D8181D1" w14:textId="77777777" w:rsidTr="00D13567">
        <w:trPr>
          <w:gridAfter w:val="1"/>
          <w:wAfter w:w="14" w:type="pct"/>
          <w:trHeight w:hRule="exact" w:val="80"/>
        </w:trPr>
        <w:tc>
          <w:tcPr>
            <w:tcW w:w="4986" w:type="pct"/>
            <w:gridSpan w:val="3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0C12EA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5F3E8DCC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7DD2AF6F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16A13DD9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42CE5F82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0232E87B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760D5986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79305547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4E446F6A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27321A1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05DDFB74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  <w:p w14:paraId="30043C13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3" w:right="598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813B97" w:rsidRPr="004A67E0" w14:paraId="1A1C4B93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5"/>
            <w:vAlign w:val="center"/>
          </w:tcPr>
          <w:p w14:paraId="5C5DEB64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  <w:t>CARACTERIZACIÓN DE LA UNIDAD DE APENDIZAJE</w:t>
            </w:r>
          </w:p>
        </w:tc>
      </w:tr>
      <w:tr w:rsidR="00813B97" w:rsidRPr="004A67E0" w14:paraId="778DB7F1" w14:textId="77777777" w:rsidTr="00D13567">
        <w:trPr>
          <w:gridAfter w:val="1"/>
          <w:wAfter w:w="14" w:type="pct"/>
          <w:trHeight w:hRule="exact" w:val="369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BFDA0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TIPO DE CONOCIMIENTO:  (    ) Disciplinaria   (    ) Formativa   ( </w:t>
            </w:r>
            <w:r w:rsidR="00271439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X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) Metodológica</w:t>
            </w:r>
          </w:p>
        </w:tc>
      </w:tr>
      <w:tr w:rsidR="00813B97" w:rsidRPr="004A67E0" w14:paraId="5E31C6B5" w14:textId="77777777" w:rsidTr="00D13567">
        <w:trPr>
          <w:gridAfter w:val="1"/>
          <w:wAfter w:w="14" w:type="pct"/>
          <w:trHeight w:hRule="exact" w:val="616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68A12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ÁREA DE O</w:t>
            </w:r>
            <w:r w:rsidR="00601027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RGANIZACIÓN CURRICULAR: General </w:t>
            </w:r>
            <w:proofErr w:type="gramStart"/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(  </w:t>
            </w:r>
            <w:proofErr w:type="gramEnd"/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) Básica común</w:t>
            </w:r>
            <w:r w:rsidR="00601027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(  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)  Básica disciplinar (  </w:t>
            </w:r>
            <w:r w:rsidR="00520283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X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)  Profundización </w:t>
            </w:r>
            <w:bookmarkStart w:id="1" w:name="_GoBack"/>
            <w:bookmarkEnd w:id="1"/>
          </w:p>
          <w:p w14:paraId="4B7B8F35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                                                                       </w:t>
            </w:r>
            <w:r w:rsidR="00E5004B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       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(  </w:t>
            </w:r>
            <w:proofErr w:type="gramEnd"/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) Complementaria  </w:t>
            </w:r>
          </w:p>
        </w:tc>
      </w:tr>
      <w:tr w:rsidR="00813B97" w:rsidRPr="004A67E0" w14:paraId="59C41725" w14:textId="77777777" w:rsidTr="00D13567">
        <w:trPr>
          <w:gridAfter w:val="1"/>
          <w:wAfter w:w="14" w:type="pct"/>
          <w:trHeight w:hRule="exact" w:val="404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10185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MODALIDAD DE ABORDAR EL CONOCIMIENTO: </w:t>
            </w:r>
            <w:proofErr w:type="gramStart"/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 ) Curso   (     ) Taller   (    ) Laboratorio   (  </w:t>
            </w:r>
            <w:r w:rsidR="00D17023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X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) Seminario</w:t>
            </w:r>
          </w:p>
        </w:tc>
      </w:tr>
      <w:tr w:rsidR="00813B97" w:rsidRPr="004A67E0" w14:paraId="13ACE7BB" w14:textId="77777777" w:rsidTr="00D13567">
        <w:trPr>
          <w:gridAfter w:val="1"/>
          <w:wAfter w:w="14" w:type="pct"/>
          <w:trHeight w:hRule="exact" w:val="692"/>
        </w:trPr>
        <w:tc>
          <w:tcPr>
            <w:tcW w:w="4986" w:type="pct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8B963" w14:textId="77777777" w:rsidR="00813B97" w:rsidRPr="004A67E0" w:rsidRDefault="00813B97" w:rsidP="00D13567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CARÁCTER DE LA UNIDAD DE APRENDIZAJE</w:t>
            </w:r>
            <w:proofErr w:type="gramStart"/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:  (</w:t>
            </w:r>
            <w:proofErr w:type="gramEnd"/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 ) Obligatoria </w:t>
            </w:r>
            <w:r w:rsidR="00E5004B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(    ) Recursable</w:t>
            </w:r>
            <w:r w:rsidR="00E5004B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(    ) Optativa  </w:t>
            </w:r>
            <w:r w:rsidR="00E5004B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(  </w:t>
            </w:r>
            <w:r w:rsidR="00D17023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X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) Selectiva </w:t>
            </w:r>
            <w:r w:rsidR="00E5004B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 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(     ) Acreditable</w:t>
            </w:r>
          </w:p>
        </w:tc>
      </w:tr>
    </w:tbl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441"/>
      </w:tblGrid>
      <w:tr w:rsidR="00813B97" w:rsidRPr="004A67E0" w14:paraId="75EC6A59" w14:textId="77777777" w:rsidTr="00E5004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6B429F76" w14:textId="77777777" w:rsidR="00813B97" w:rsidRPr="004A67E0" w:rsidRDefault="00B06900" w:rsidP="00B06900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PERFIL DEL DOCENTE</w:t>
            </w:r>
          </w:p>
        </w:tc>
      </w:tr>
      <w:tr w:rsidR="00813B97" w:rsidRPr="004A67E0" w14:paraId="7DA0C6B5" w14:textId="77777777" w:rsidTr="00E5004B">
        <w:trPr>
          <w:trHeight w:val="230"/>
          <w:jc w:val="center"/>
        </w:trPr>
        <w:tc>
          <w:tcPr>
            <w:tcW w:w="5000" w:type="pct"/>
            <w:gridSpan w:val="2"/>
            <w:vAlign w:val="center"/>
          </w:tcPr>
          <w:p w14:paraId="09B8DB89" w14:textId="77777777" w:rsidR="00813B97" w:rsidRPr="004A67E0" w:rsidRDefault="00D17023" w:rsidP="00726560">
            <w:pPr>
              <w:spacing w:before="240" w:line="240" w:lineRule="auto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Para la coordinación</w:t>
            </w:r>
            <w:r w:rsidR="00813B97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de esta unidad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de aprendizaje, </w:t>
            </w:r>
            <w:r w:rsidR="00813B97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se sugiere la participación de profesionales co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n estudios en educación y, específicamente en desarrollo curricular. Es recomendable que tenga experiencia en planeación, diseño y evaluación curriculares.</w:t>
            </w:r>
          </w:p>
          <w:p w14:paraId="13CACC59" w14:textId="77777777" w:rsidR="00D17023" w:rsidRPr="004A67E0" w:rsidRDefault="00817459" w:rsidP="00726560">
            <w:pPr>
              <w:spacing w:before="240" w:line="240" w:lineRule="auto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Se destaca por las siguientes competencias que incluye el Modelo Educativo de la Universidad de Guanajuato:</w:t>
            </w:r>
          </w:p>
          <w:p w14:paraId="660E20EF" w14:textId="77777777" w:rsidR="00817459" w:rsidRPr="004A67E0" w:rsidRDefault="00817459" w:rsidP="00601027">
            <w:pPr>
              <w:pStyle w:val="Prrafodelista"/>
              <w:numPr>
                <w:ilvl w:val="0"/>
                <w:numId w:val="4"/>
              </w:numPr>
              <w:spacing w:before="240" w:line="240" w:lineRule="auto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Sustenta una postura personal sobre temas de interés y relevancia general, considerando otros puntos de vista de manera crítica, respetuosa y reflexiva.</w:t>
            </w:r>
          </w:p>
          <w:p w14:paraId="47127047" w14:textId="77777777" w:rsidR="00601027" w:rsidRPr="004A67E0" w:rsidRDefault="00817459" w:rsidP="00601027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Style w:val="A4"/>
                <w:rFonts w:ascii="Cambria" w:hAnsi="Cambria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Es un experto en la disciplina o disciplinas afines a los programas afines en los que participa, contribuyendo a una formación integral del estudiante, de vanguardia, pertinente, útil para la vida y el trabajo profesional.</w:t>
            </w:r>
            <w:r w:rsidR="00601027" w:rsidRPr="004A67E0">
              <w:rPr>
                <w:rStyle w:val="A4"/>
                <w:rFonts w:ascii="Cambria" w:hAnsi="Cambria"/>
              </w:rPr>
              <w:t xml:space="preserve"> Se vincula con el entorno e involucra al estudiante en actividades de familiarización e interacción en su campo de formación, sea mediante la extensión o la investigación para la formación de su perfil profesional.</w:t>
            </w:r>
          </w:p>
          <w:p w14:paraId="296A2C83" w14:textId="77777777" w:rsidR="00601027" w:rsidRPr="004A67E0" w:rsidRDefault="00601027" w:rsidP="00601027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r w:rsidRPr="004A67E0">
              <w:rPr>
                <w:rStyle w:val="A4"/>
                <w:rFonts w:ascii="Cambria" w:hAnsi="Cambria"/>
              </w:rPr>
              <w:t>Promueve y planifica el trabajo autónomo del estudiante haciendo uso de metodologías de aprendizaje innovadoras para fortalecer su formación integral.</w:t>
            </w:r>
          </w:p>
          <w:p w14:paraId="693A5376" w14:textId="77777777" w:rsidR="00996B9F" w:rsidRPr="004A67E0" w:rsidRDefault="00996B9F" w:rsidP="00601027">
            <w:pPr>
              <w:pStyle w:val="Prrafodelista"/>
              <w:spacing w:after="0"/>
              <w:jc w:val="both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</w:p>
        </w:tc>
      </w:tr>
      <w:tr w:rsidR="00813B97" w:rsidRPr="004A67E0" w14:paraId="7A331F7E" w14:textId="77777777" w:rsidTr="00E5004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1BF3FCBA" w14:textId="77777777" w:rsidR="00813B97" w:rsidRPr="004A67E0" w:rsidRDefault="00813B97" w:rsidP="00B0690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CONTRIBUCIÓN DE </w:t>
            </w:r>
            <w:r w:rsidR="00ED1E71"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 xml:space="preserve">LA UNIDAD DE APRENDIZAJE </w:t>
            </w: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AL PERFIL D</w:t>
            </w:r>
            <w:r w:rsidR="00B06900"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E EGRESO DEL PROGRAMA EDUCATIVO</w:t>
            </w:r>
          </w:p>
        </w:tc>
      </w:tr>
      <w:tr w:rsidR="00813B97" w:rsidRPr="004A67E0" w14:paraId="3DB77155" w14:textId="77777777" w:rsidTr="00E5004B">
        <w:trPr>
          <w:jc w:val="center"/>
        </w:trPr>
        <w:tc>
          <w:tcPr>
            <w:tcW w:w="5000" w:type="pct"/>
            <w:gridSpan w:val="2"/>
          </w:tcPr>
          <w:p w14:paraId="164C2042" w14:textId="77777777" w:rsidR="006F798F" w:rsidRPr="004A67E0" w:rsidRDefault="00491EB9" w:rsidP="006F798F">
            <w:pPr>
              <w:spacing w:before="240" w:line="240" w:lineRule="auto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La unidad de Aprendizaje incide de manera directa en la formación de la</w:t>
            </w:r>
            <w:r w:rsidR="006F798F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</w:t>
            </w:r>
            <w:r w:rsidR="006F798F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siguientes 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competencia</w:t>
            </w:r>
            <w:r w:rsidR="006F798F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 genéricas: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</w:t>
            </w:r>
          </w:p>
          <w:p w14:paraId="017E44A5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CG2. Sustenta una postura personal sobre temas de interés y relevancia general, considerando otros puntos de vista de manera crítica y reflexiva.</w:t>
            </w:r>
          </w:p>
          <w:p w14:paraId="641C180D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CG3. Mantiene una actitud respetuosa hacia la interculturalidad y la diversidad para crear espacios de convivencia humana, académica y profesional y construir sociedades incluyentes y sustentables.</w:t>
            </w:r>
          </w:p>
          <w:p w14:paraId="24D387B6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CG7. Se comunica de manera oral y escrita en español para ampliar sus redes académicas, sociales y profesionales.</w:t>
            </w:r>
          </w:p>
          <w:p w14:paraId="620A2004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CG8. Maneja en forma ética y socialmente responsable las tecnologías de la información en sus procesos personales, académicos y profesionales.</w:t>
            </w:r>
          </w:p>
          <w:p w14:paraId="397B1D8F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CG10. Desarrolla un liderazgo innovador y competitivo en la disciplina o campo de su elección, que le permite aprender continuamente sobre su persona, nuevos conceptos, procesos y metodologías que aporten alternativas de solución y toma decisiones con integridad moral, compromiso social y enfoque de sustentabilidad.</w:t>
            </w:r>
          </w:p>
          <w:p w14:paraId="4329C433" w14:textId="77777777" w:rsidR="006F798F" w:rsidRPr="004A67E0" w:rsidRDefault="00491EB9" w:rsidP="006F798F">
            <w:pPr>
              <w:spacing w:before="240" w:line="276" w:lineRule="auto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Además, contribuye a la</w:t>
            </w:r>
            <w:r w:rsidR="006F798F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competencia</w:t>
            </w:r>
            <w:r w:rsidR="006F798F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específica</w:t>
            </w:r>
            <w:r w:rsidR="006F798F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s</w:t>
            </w: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del programa de la Licenciatura en Educación: </w:t>
            </w:r>
          </w:p>
          <w:p w14:paraId="3458BCC8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</w:pPr>
            <w:r w:rsidRPr="004A67E0"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  <w:t>CE1. Domina la teoría y metodología curricular para orientar acciones educativas (diseño, ejecución y evaluación).</w:t>
            </w:r>
          </w:p>
          <w:p w14:paraId="4B4F1FD8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</w:pPr>
            <w:r w:rsidRPr="004A67E0"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  <w:t>CE2. Diseña y operacionaliza estrategias de enseñanza y aprendizaje según contextos.</w:t>
            </w:r>
          </w:p>
          <w:p w14:paraId="35857D7B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</w:pPr>
            <w:r w:rsidRPr="004A67E0"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  <w:t>CE3. Proyecta y desarrolla acciones educativas de carácter interdisciplinario.</w:t>
            </w:r>
          </w:p>
          <w:p w14:paraId="5D2BB39F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</w:pPr>
            <w:r w:rsidRPr="004A67E0"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  <w:t>CE5. Diseña, gestiona, implementa y evalúa programas y proyectos educativos.</w:t>
            </w:r>
          </w:p>
          <w:p w14:paraId="7096AFBA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</w:pPr>
            <w:r w:rsidRPr="004A67E0"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  <w:t>CE11. Investiga en educación y aplica los resultados en la transformación sistemática de las prácticas educativas.</w:t>
            </w:r>
          </w:p>
          <w:p w14:paraId="5FE07206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</w:pPr>
            <w:r w:rsidRPr="004A67E0"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  <w:t>CE13. Conoce la teoría educativa y hace uso crítico de ella en diferentes contextos.</w:t>
            </w:r>
          </w:p>
          <w:p w14:paraId="408328F8" w14:textId="77777777" w:rsidR="006F798F" w:rsidRPr="004A67E0" w:rsidRDefault="006F798F" w:rsidP="006F798F">
            <w:pPr>
              <w:spacing w:after="0" w:line="276" w:lineRule="auto"/>
              <w:ind w:left="592" w:hanging="592"/>
              <w:jc w:val="both"/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</w:pPr>
            <w:r w:rsidRPr="004A67E0"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  <w:t>CE15. Analiza críticamente las políticas educativas.</w:t>
            </w:r>
          </w:p>
          <w:p w14:paraId="02C7954E" w14:textId="77777777" w:rsidR="006F798F" w:rsidRPr="004A67E0" w:rsidRDefault="006F798F" w:rsidP="006F798F">
            <w:pPr>
              <w:spacing w:line="276" w:lineRule="auto"/>
              <w:ind w:left="592" w:hanging="592"/>
              <w:jc w:val="both"/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</w:pPr>
            <w:r w:rsidRPr="004A67E0">
              <w:rPr>
                <w:rFonts w:ascii="Cambria" w:hAnsi="Cambria" w:cs="Arial"/>
                <w:bCs/>
                <w:iCs/>
                <w:spacing w:val="2"/>
                <w:sz w:val="20"/>
                <w:szCs w:val="20"/>
              </w:rPr>
              <w:t>CE19. Produce materiales educativos acordes a diferentes contextos para favorecer los procesos de enseñanza y aprendizaje.</w:t>
            </w:r>
          </w:p>
        </w:tc>
      </w:tr>
      <w:tr w:rsidR="00813B97" w:rsidRPr="004A67E0" w14:paraId="6FA5EF9D" w14:textId="77777777" w:rsidTr="00E5004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418392DD" w14:textId="77777777" w:rsidR="00813B97" w:rsidRPr="004A67E0" w:rsidRDefault="00813B97" w:rsidP="00B06900">
            <w:pPr>
              <w:spacing w:after="0" w:line="360" w:lineRule="auto"/>
              <w:jc w:val="center"/>
              <w:rPr>
                <w:rFonts w:ascii="Cambria" w:eastAsia="Times New Roman" w:hAnsi="Cambria" w:cs="Arial"/>
                <w:b/>
                <w:bCs/>
                <w:color w:val="FFFFFF" w:themeColor="background1"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CONTEXTUA</w:t>
            </w:r>
            <w:r w:rsidR="00B06900"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LIZACIÓN EN EL PLAN DE ESTUDIOS</w:t>
            </w:r>
          </w:p>
        </w:tc>
      </w:tr>
      <w:tr w:rsidR="00813B97" w:rsidRPr="004A67E0" w14:paraId="47D5C403" w14:textId="77777777" w:rsidTr="00E5004B">
        <w:trPr>
          <w:jc w:val="center"/>
        </w:trPr>
        <w:tc>
          <w:tcPr>
            <w:tcW w:w="5000" w:type="pct"/>
            <w:gridSpan w:val="2"/>
          </w:tcPr>
          <w:p w14:paraId="4BE6573D" w14:textId="77777777" w:rsidR="00AE1421" w:rsidRPr="004A67E0" w:rsidRDefault="00813B97" w:rsidP="00726560">
            <w:pPr>
              <w:spacing w:line="240" w:lineRule="auto"/>
              <w:jc w:val="both"/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La importancia de esta unidad de aprendizaje reside en</w:t>
            </w:r>
            <w:r w:rsidR="00AE1421"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 xml:space="preserve"> que es la base para aquellas/os estudiantes de la Licenciatura en Educación con inclinaciones hacia el campo del desarrollo curricular (diseño, planeación y evaluación de planes de estudio). Como base, sienta los fundamentos teóricos para abordar la materia de estudio con racionalidad curricular y educativa, y es la puerta de entrada a los fundamentos metodológicos necesarios para el diseño y la evaluación curriculares.</w:t>
            </w:r>
          </w:p>
          <w:p w14:paraId="5EADAD14" w14:textId="77777777" w:rsidR="00996B9F" w:rsidRPr="004A67E0" w:rsidRDefault="00AE1421" w:rsidP="00726560">
            <w:pPr>
              <w:spacing w:line="240" w:lineRule="auto"/>
              <w:jc w:val="both"/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Cs/>
                <w:spacing w:val="-1"/>
                <w:sz w:val="20"/>
                <w:szCs w:val="20"/>
              </w:rPr>
              <w:t>Como consecuencia de lo anterior, se recomienda que se curse en la 5ª inscripción, una vez que las y los estudiantes han cursado una primera fase común y comienzan a decantarse por profundizar en alguna área de especialización, en este caso, la denominada “Diseño curricular y educación no convencional”.</w:t>
            </w:r>
          </w:p>
        </w:tc>
      </w:tr>
      <w:tr w:rsidR="00813B97" w:rsidRPr="004A67E0" w14:paraId="5DFD2EF1" w14:textId="77777777" w:rsidTr="00E5004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</w:tcPr>
          <w:p w14:paraId="6ECD8892" w14:textId="77777777" w:rsidR="00813B97" w:rsidRPr="004A67E0" w:rsidRDefault="00813B97" w:rsidP="00ED1E71">
            <w:pPr>
              <w:spacing w:after="0" w:line="360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COMPETENC</w:t>
            </w:r>
            <w:r w:rsidR="00B06900"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IAS DE LA UNIDAD DE APRENDIZAJE</w:t>
            </w:r>
          </w:p>
        </w:tc>
      </w:tr>
      <w:tr w:rsidR="00813B97" w:rsidRPr="004A67E0" w14:paraId="58D41916" w14:textId="77777777" w:rsidTr="00E5004B">
        <w:trPr>
          <w:jc w:val="center"/>
        </w:trPr>
        <w:tc>
          <w:tcPr>
            <w:tcW w:w="5000" w:type="pct"/>
            <w:gridSpan w:val="2"/>
            <w:vAlign w:val="center"/>
          </w:tcPr>
          <w:p w14:paraId="54FEAE96" w14:textId="77777777" w:rsidR="00AE1421" w:rsidRPr="004A67E0" w:rsidRDefault="00AE1421" w:rsidP="00D13567">
            <w:pPr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La Unidad de Aprendizaje de Teoría Curricular, aporta al logro de las siguientes competencias específicas de las/los profesionales de la educación:</w:t>
            </w:r>
          </w:p>
          <w:p w14:paraId="497CA4EE" w14:textId="77777777" w:rsidR="00F54DDF" w:rsidRPr="004A67E0" w:rsidRDefault="00AE1421" w:rsidP="00AE1421">
            <w:pPr>
              <w:pStyle w:val="Prrafodelista"/>
              <w:numPr>
                <w:ilvl w:val="0"/>
                <w:numId w:val="5"/>
              </w:numPr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Domina la teoría y metodología curricular para orientar acciones educativas (Diseño, ejecución y evaluación).</w:t>
            </w:r>
          </w:p>
          <w:p w14:paraId="4DD022A4" w14:textId="77777777" w:rsidR="00AE1421" w:rsidRPr="004A67E0" w:rsidRDefault="00AE1421" w:rsidP="00AE1421">
            <w:pPr>
              <w:pStyle w:val="Prrafodelista"/>
              <w:numPr>
                <w:ilvl w:val="0"/>
                <w:numId w:val="5"/>
              </w:numPr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lastRenderedPageBreak/>
              <w:t>Desarrolla el pensamiento lógico, crítico y creativo.</w:t>
            </w:r>
          </w:p>
          <w:p w14:paraId="44CDC1CC" w14:textId="77777777" w:rsidR="00AE1421" w:rsidRPr="004A67E0" w:rsidRDefault="00AE1421" w:rsidP="00AE1421">
            <w:pPr>
              <w:pStyle w:val="Prrafodelista"/>
              <w:numPr>
                <w:ilvl w:val="0"/>
                <w:numId w:val="5"/>
              </w:numPr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Conoce la teoría educativa y hace uso crítico de ella en diferentes contextos.</w:t>
            </w:r>
          </w:p>
          <w:p w14:paraId="24908F3F" w14:textId="77777777" w:rsidR="00AE1421" w:rsidRPr="004A67E0" w:rsidRDefault="00AE1421" w:rsidP="00AE1421">
            <w:pPr>
              <w:pStyle w:val="Prrafodelista"/>
              <w:numPr>
                <w:ilvl w:val="0"/>
                <w:numId w:val="5"/>
              </w:numPr>
              <w:rPr>
                <w:rFonts w:ascii="Cambria" w:eastAsia="Times New Roman" w:hAnsi="Cambria" w:cs="Arial"/>
                <w:b/>
                <w:bCs/>
                <w:spacing w:val="-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Conoce los procesos históricos de la educación de su país y de otros países, a través de autoras y autores que han destacado en el campo del curriculum.</w:t>
            </w:r>
          </w:p>
        </w:tc>
      </w:tr>
      <w:tr w:rsidR="00813B97" w:rsidRPr="004A67E0" w14:paraId="51511161" w14:textId="77777777" w:rsidTr="00E5004B">
        <w:trPr>
          <w:jc w:val="center"/>
        </w:trPr>
        <w:tc>
          <w:tcPr>
            <w:tcW w:w="5000" w:type="pct"/>
            <w:gridSpan w:val="2"/>
            <w:shd w:val="clear" w:color="auto" w:fill="5B9BD5" w:themeFill="accent5"/>
            <w:vAlign w:val="center"/>
          </w:tcPr>
          <w:p w14:paraId="5BD3397B" w14:textId="77777777" w:rsidR="00813B97" w:rsidRPr="004A67E0" w:rsidRDefault="00813B97" w:rsidP="00B06900">
            <w:pPr>
              <w:spacing w:after="0" w:line="360" w:lineRule="auto"/>
              <w:jc w:val="center"/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lastRenderedPageBreak/>
              <w:t>CONTENI</w:t>
            </w:r>
            <w:r w:rsidR="00ED1E71"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DOS</w:t>
            </w:r>
          </w:p>
        </w:tc>
      </w:tr>
      <w:tr w:rsidR="00813B97" w:rsidRPr="004A67E0" w14:paraId="5AA6FFFD" w14:textId="77777777" w:rsidTr="00E5004B">
        <w:trPr>
          <w:jc w:val="center"/>
        </w:trPr>
        <w:tc>
          <w:tcPr>
            <w:tcW w:w="5000" w:type="pct"/>
            <w:gridSpan w:val="2"/>
            <w:vAlign w:val="center"/>
          </w:tcPr>
          <w:p w14:paraId="2E148D15" w14:textId="77777777" w:rsidR="00813B97" w:rsidRPr="004A67E0" w:rsidRDefault="004E52F7" w:rsidP="006F7859">
            <w:pPr>
              <w:spacing w:after="0" w:line="360" w:lineRule="auto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sz w:val="20"/>
                <w:szCs w:val="20"/>
              </w:rPr>
              <w:t>Contenidos sugeridos</w:t>
            </w:r>
          </w:p>
          <w:p w14:paraId="6575261C" w14:textId="77777777" w:rsidR="004E52F7" w:rsidRPr="004A67E0" w:rsidRDefault="004E52F7" w:rsidP="004E52F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Recorrido histórico del currículum: origen de una concepción y práctica.</w:t>
            </w:r>
          </w:p>
          <w:p w14:paraId="5A43E4F3" w14:textId="77777777" w:rsidR="004E52F7" w:rsidRPr="004A67E0" w:rsidRDefault="004E52F7" w:rsidP="004E52F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Enfoques del curriculum</w:t>
            </w:r>
          </w:p>
          <w:p w14:paraId="79B323E0" w14:textId="77777777" w:rsidR="004E52F7" w:rsidRPr="004A67E0" w:rsidRDefault="004E52F7" w:rsidP="004E52F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Técnico o clásico</w:t>
            </w:r>
          </w:p>
          <w:p w14:paraId="68745444" w14:textId="77777777" w:rsidR="004E52F7" w:rsidRPr="004A67E0" w:rsidRDefault="004E52F7" w:rsidP="004E52F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Práctico o deliberativo</w:t>
            </w:r>
          </w:p>
          <w:p w14:paraId="51D19356" w14:textId="77777777" w:rsidR="004E52F7" w:rsidRPr="004A67E0" w:rsidRDefault="004E52F7" w:rsidP="004E52F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Crítico o emancipador</w:t>
            </w:r>
          </w:p>
          <w:p w14:paraId="700E33E3" w14:textId="77777777" w:rsidR="004E52F7" w:rsidRPr="004A67E0" w:rsidRDefault="004E52F7" w:rsidP="004E52F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Fundamentos conceptuales y contexto de las teorías curriculares.</w:t>
            </w:r>
          </w:p>
          <w:p w14:paraId="6BE99003" w14:textId="77777777" w:rsidR="004A4FA0" w:rsidRPr="004A67E0" w:rsidRDefault="004A4FA0" w:rsidP="004A4FA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Aportes de las ciencias de la educación al curriculum</w:t>
            </w:r>
          </w:p>
          <w:p w14:paraId="7A46A95D" w14:textId="77777777" w:rsidR="004A4FA0" w:rsidRPr="004A67E0" w:rsidRDefault="004A4FA0" w:rsidP="004A4FA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Componentes filosóficos del curriculum</w:t>
            </w:r>
          </w:p>
          <w:p w14:paraId="03DC52BE" w14:textId="77777777" w:rsidR="004A4FA0" w:rsidRPr="004A67E0" w:rsidRDefault="004A4FA0" w:rsidP="004A4FA0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Normatividad y contexto institucional en el desarrollo curricular</w:t>
            </w:r>
          </w:p>
          <w:p w14:paraId="365F038A" w14:textId="77777777" w:rsidR="004A4FA0" w:rsidRPr="004A67E0" w:rsidRDefault="004A4FA0" w:rsidP="004E52F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Modalidades del curriculum e implicaciones teórico-metodológicas</w:t>
            </w:r>
            <w:r w:rsidR="00B91208"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.</w:t>
            </w:r>
          </w:p>
          <w:p w14:paraId="761787AB" w14:textId="77777777" w:rsidR="004A4FA0" w:rsidRPr="004A67E0" w:rsidRDefault="004A4FA0" w:rsidP="004A4FA0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Aproximaciones al </w:t>
            </w:r>
            <w:r w:rsidRPr="004A67E0">
              <w:rPr>
                <w:rFonts w:ascii="Cambria" w:hAnsi="Cambria"/>
                <w:sz w:val="20"/>
                <w:szCs w:val="20"/>
              </w:rPr>
              <w:t>diseño curricular</w:t>
            </w:r>
          </w:p>
          <w:p w14:paraId="7FBC9058" w14:textId="77777777" w:rsidR="004A4FA0" w:rsidRPr="004A67E0" w:rsidRDefault="004A4FA0" w:rsidP="004A4FA0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sz w:val="20"/>
                <w:szCs w:val="20"/>
              </w:rPr>
              <w:t>Relación enfoque-racionalidad en el diseño curricular</w:t>
            </w:r>
          </w:p>
          <w:p w14:paraId="7FFA8F74" w14:textId="77777777" w:rsidR="004A4FA0" w:rsidRPr="004A67E0" w:rsidRDefault="004A4FA0" w:rsidP="004E52F7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Tendencias actuales del curriculum</w:t>
            </w:r>
            <w:r w:rsidR="00B91208"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.</w:t>
            </w:r>
          </w:p>
          <w:p w14:paraId="4A5E4F59" w14:textId="77777777" w:rsidR="004A4FA0" w:rsidRPr="004A67E0" w:rsidRDefault="00B91208" w:rsidP="00B91208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Enfoques basados en competencias</w:t>
            </w:r>
          </w:p>
          <w:p w14:paraId="1F16ED10" w14:textId="77777777" w:rsidR="00B91208" w:rsidRPr="004A67E0" w:rsidRDefault="00B91208" w:rsidP="00B91208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Modelos educativos centrados en el estudiante</w:t>
            </w:r>
          </w:p>
          <w:p w14:paraId="4D914F96" w14:textId="77777777" w:rsidR="004A4FA0" w:rsidRPr="004A67E0" w:rsidRDefault="00B91208" w:rsidP="00B91208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Contenidos y experiencias de aprendizaje</w:t>
            </w:r>
          </w:p>
        </w:tc>
      </w:tr>
      <w:tr w:rsidR="00813B97" w:rsidRPr="004A67E0" w14:paraId="5D031463" w14:textId="77777777" w:rsidTr="00E5004B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14:paraId="53B76639" w14:textId="77777777" w:rsidR="00813B97" w:rsidRPr="004A67E0" w:rsidRDefault="00B91208" w:rsidP="00B0690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ACTIVIDADES DE APRENDIZAJE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14:paraId="3DD98654" w14:textId="77777777" w:rsidR="00813B97" w:rsidRPr="004A67E0" w:rsidRDefault="00813B97" w:rsidP="00B06900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RECURSOS MA</w:t>
            </w:r>
            <w:r w:rsidR="006D46E9"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TERIALES Y DIDÁCTICOS SUGERIDOS</w:t>
            </w:r>
          </w:p>
        </w:tc>
      </w:tr>
      <w:tr w:rsidR="004E52F7" w:rsidRPr="004A67E0" w14:paraId="78FD408A" w14:textId="77777777" w:rsidTr="00E5004B">
        <w:trPr>
          <w:jc w:val="center"/>
        </w:trPr>
        <w:tc>
          <w:tcPr>
            <w:tcW w:w="2559" w:type="pct"/>
            <w:vAlign w:val="center"/>
          </w:tcPr>
          <w:p w14:paraId="5A320BEE" w14:textId="77777777" w:rsidR="004E52F7" w:rsidRPr="004A67E0" w:rsidRDefault="004E52F7" w:rsidP="004E52F7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Las principales actividades de la Unidad de Aprendizaje que se sugieren, a lo largo de todo el curso, son:</w:t>
            </w:r>
          </w:p>
          <w:p w14:paraId="4D008DDD" w14:textId="77777777" w:rsidR="004E52F7" w:rsidRPr="004A67E0" w:rsidRDefault="004E52F7" w:rsidP="004E52F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Lectura crítica de autoras/es de diversos contextos y filiaciones teóricas.</w:t>
            </w:r>
          </w:p>
          <w:p w14:paraId="294F4069" w14:textId="77777777" w:rsidR="004E52F7" w:rsidRPr="004A67E0" w:rsidRDefault="004E52F7" w:rsidP="004E52F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Discusión de los resultados de la lectura en sesión plenaria.</w:t>
            </w:r>
          </w:p>
          <w:p w14:paraId="6066CFEA" w14:textId="77777777" w:rsidR="004E52F7" w:rsidRPr="004A67E0" w:rsidRDefault="004E52F7" w:rsidP="004E52F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Elaboración y exposición de trabajos académicos con carácter de publicables.</w:t>
            </w:r>
          </w:p>
          <w:p w14:paraId="634320B1" w14:textId="77777777" w:rsidR="004E52F7" w:rsidRPr="004A67E0" w:rsidRDefault="004E52F7" w:rsidP="004E52F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Diseño de proyectos de diseño curricular con enfoque innovador.</w:t>
            </w:r>
          </w:p>
        </w:tc>
        <w:tc>
          <w:tcPr>
            <w:tcW w:w="2441" w:type="pct"/>
            <w:vAlign w:val="center"/>
          </w:tcPr>
          <w:p w14:paraId="214A1A97" w14:textId="77777777" w:rsidR="004E52F7" w:rsidRPr="004A67E0" w:rsidRDefault="004E52F7" w:rsidP="004E52F7">
            <w:pPr>
              <w:spacing w:after="0" w:line="36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Fuentes directas de consulta.</w:t>
            </w:r>
          </w:p>
          <w:p w14:paraId="32EAE919" w14:textId="77777777" w:rsidR="004E52F7" w:rsidRPr="004A67E0" w:rsidRDefault="004E52F7" w:rsidP="004E52F7">
            <w:pPr>
              <w:spacing w:after="0" w:line="36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Publicaciones periódicas.</w:t>
            </w:r>
          </w:p>
        </w:tc>
      </w:tr>
      <w:tr w:rsidR="004E52F7" w:rsidRPr="004A67E0" w14:paraId="1875A82E" w14:textId="77777777" w:rsidTr="00E5004B">
        <w:trPr>
          <w:jc w:val="center"/>
        </w:trPr>
        <w:tc>
          <w:tcPr>
            <w:tcW w:w="2559" w:type="pct"/>
            <w:shd w:val="clear" w:color="auto" w:fill="5B9BD5" w:themeFill="accent5"/>
            <w:vAlign w:val="center"/>
          </w:tcPr>
          <w:p w14:paraId="26A1F3E2" w14:textId="77777777" w:rsidR="004E52F7" w:rsidRPr="004A67E0" w:rsidRDefault="004E52F7" w:rsidP="004E52F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PRODUCTOS O EVIDENCIAS DE APRENDIZAJE SUGERIDOS</w:t>
            </w:r>
          </w:p>
        </w:tc>
        <w:tc>
          <w:tcPr>
            <w:tcW w:w="2441" w:type="pct"/>
            <w:shd w:val="clear" w:color="auto" w:fill="5B9BD5" w:themeFill="accent5"/>
            <w:vAlign w:val="center"/>
          </w:tcPr>
          <w:p w14:paraId="2E15E16C" w14:textId="77777777" w:rsidR="004E52F7" w:rsidRPr="004A67E0" w:rsidRDefault="004E52F7" w:rsidP="004E52F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SISTEMA DE EVALUACIÓN SUGERIDA</w:t>
            </w:r>
          </w:p>
        </w:tc>
      </w:tr>
      <w:tr w:rsidR="004E52F7" w:rsidRPr="004A67E0" w14:paraId="580C7462" w14:textId="77777777" w:rsidTr="00E5004B">
        <w:trPr>
          <w:jc w:val="center"/>
        </w:trPr>
        <w:tc>
          <w:tcPr>
            <w:tcW w:w="2559" w:type="pct"/>
          </w:tcPr>
          <w:p w14:paraId="74C1AC2C" w14:textId="77777777" w:rsidR="004E52F7" w:rsidRPr="004A67E0" w:rsidRDefault="004E52F7" w:rsidP="004E52F7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Comentario crítico sobre la</w:t>
            </w:r>
            <w:r w:rsidR="005F540B" w:rsidRPr="004A67E0">
              <w:rPr>
                <w:rFonts w:ascii="Cambria" w:eastAsia="Times New Roman" w:hAnsi="Cambria" w:cs="Arial"/>
                <w:sz w:val="20"/>
                <w:szCs w:val="20"/>
              </w:rPr>
              <w:t xml:space="preserve"> evolución del campo curricular (individual).</w:t>
            </w:r>
          </w:p>
          <w:p w14:paraId="44F70E6B" w14:textId="77777777" w:rsidR="004E52F7" w:rsidRPr="004A67E0" w:rsidRDefault="004E52F7" w:rsidP="004E52F7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Ensayo integrador</w:t>
            </w:r>
            <w:r w:rsidR="005F540B" w:rsidRPr="004A67E0">
              <w:rPr>
                <w:rFonts w:ascii="Cambria" w:eastAsia="Times New Roman" w:hAnsi="Cambria" w:cs="Arial"/>
                <w:sz w:val="20"/>
                <w:szCs w:val="20"/>
              </w:rPr>
              <w:t xml:space="preserve"> de los enfoques del curriculum (equipo).</w:t>
            </w:r>
          </w:p>
          <w:p w14:paraId="54F0F137" w14:textId="77777777" w:rsidR="004E52F7" w:rsidRPr="004A67E0" w:rsidRDefault="004E52F7" w:rsidP="004E52F7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Ensayo colectivo sobre el curriculum y sus fuentes diversas</w:t>
            </w:r>
            <w:r w:rsidR="005F540B" w:rsidRPr="004A67E0">
              <w:rPr>
                <w:rFonts w:ascii="Cambria" w:eastAsia="Times New Roman" w:hAnsi="Cambria" w:cs="Arial"/>
                <w:sz w:val="20"/>
                <w:szCs w:val="20"/>
              </w:rPr>
              <w:t xml:space="preserve"> (equipo).</w:t>
            </w:r>
          </w:p>
          <w:p w14:paraId="3A62BCB9" w14:textId="77777777" w:rsidR="004E52F7" w:rsidRPr="004A67E0" w:rsidRDefault="004E52F7" w:rsidP="00726560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Conclusión escrita sobre la revisión aproximada a un plan de estudios, detectando</w:t>
            </w:r>
            <w:r w:rsidR="005F540B" w:rsidRPr="004A67E0">
              <w:rPr>
                <w:rFonts w:ascii="Cambria" w:eastAsia="Times New Roman" w:hAnsi="Cambria" w:cs="Arial"/>
                <w:sz w:val="20"/>
                <w:szCs w:val="20"/>
              </w:rPr>
              <w:t xml:space="preserve"> la racionalidad que le subyace (equipo).</w:t>
            </w:r>
          </w:p>
          <w:p w14:paraId="78EED4B4" w14:textId="77777777" w:rsidR="00EF0E93" w:rsidRPr="004A67E0" w:rsidRDefault="00EF0E93" w:rsidP="00726560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Diseño de una propuesta curricular centrado en experiencias</w:t>
            </w:r>
            <w:r w:rsidR="005F540B" w:rsidRPr="004A67E0">
              <w:rPr>
                <w:rFonts w:ascii="Cambria" w:eastAsia="Times New Roman" w:hAnsi="Cambria" w:cs="Arial"/>
                <w:sz w:val="20"/>
                <w:szCs w:val="20"/>
              </w:rPr>
              <w:t xml:space="preserve"> (trabajo colectivo)</w:t>
            </w: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.</w:t>
            </w:r>
          </w:p>
        </w:tc>
        <w:tc>
          <w:tcPr>
            <w:tcW w:w="2441" w:type="pct"/>
          </w:tcPr>
          <w:p w14:paraId="7D62F2E0" w14:textId="77777777" w:rsidR="004E52F7" w:rsidRPr="004A67E0" w:rsidRDefault="0098647D" w:rsidP="00D2656A">
            <w:pPr>
              <w:spacing w:after="0" w:line="276" w:lineRule="auto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En apego al carácter de esta Unidad de Aprendizaje y en el marco del Modelo Educativo de la Universidad de Guanajuato, la evaluación se concibe como un proceso continuo y permanente. Tiene las características de ser formativa, por los insumos que proporciona para realimentar el aprendizaje y todo el sistema educativo, esto es, se convierte en una evaluación de impacto; y es sumativa, por cuanto se realiza a lo largo de todo el periodo lect</w:t>
            </w:r>
            <w:r w:rsidR="00D2656A" w:rsidRPr="004A67E0">
              <w:rPr>
                <w:rFonts w:ascii="Cambria" w:eastAsia="Times New Roman" w:hAnsi="Cambria" w:cs="Arial"/>
                <w:sz w:val="20"/>
                <w:szCs w:val="20"/>
              </w:rPr>
              <w:t>ivo, valorando los logros de cad</w:t>
            </w:r>
            <w:r w:rsidRPr="004A67E0">
              <w:rPr>
                <w:rFonts w:ascii="Cambria" w:eastAsia="Times New Roman" w:hAnsi="Cambria" w:cs="Arial"/>
                <w:sz w:val="20"/>
                <w:szCs w:val="20"/>
              </w:rPr>
              <w:t>a etapa.</w:t>
            </w:r>
          </w:p>
        </w:tc>
      </w:tr>
    </w:tbl>
    <w:tbl>
      <w:tblPr>
        <w:tblpPr w:leftFromText="141" w:rightFromText="141" w:vertAnchor="text" w:horzAnchor="margin" w:tblpX="-147" w:tblpY="251"/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8"/>
        <w:gridCol w:w="4078"/>
      </w:tblGrid>
      <w:tr w:rsidR="00813B97" w:rsidRPr="004A67E0" w14:paraId="6BE50271" w14:textId="77777777" w:rsidTr="00ED1E71">
        <w:trPr>
          <w:tblHeader/>
        </w:trPr>
        <w:tc>
          <w:tcPr>
            <w:tcW w:w="5000" w:type="pct"/>
            <w:gridSpan w:val="2"/>
            <w:shd w:val="clear" w:color="auto" w:fill="5B9BD5" w:themeFill="accent5"/>
          </w:tcPr>
          <w:p w14:paraId="70D9BAED" w14:textId="77777777" w:rsidR="00813B97" w:rsidRPr="004A67E0" w:rsidRDefault="00813B97" w:rsidP="00D13567">
            <w:pPr>
              <w:spacing w:after="0" w:line="360" w:lineRule="auto"/>
              <w:jc w:val="center"/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FUENTES DE INFORMACIÓN</w:t>
            </w:r>
          </w:p>
        </w:tc>
      </w:tr>
      <w:tr w:rsidR="00813B97" w:rsidRPr="004A67E0" w14:paraId="5B1A8106" w14:textId="77777777" w:rsidTr="00034E68">
        <w:trPr>
          <w:tblHeader/>
        </w:trPr>
        <w:tc>
          <w:tcPr>
            <w:tcW w:w="2809" w:type="pct"/>
            <w:shd w:val="clear" w:color="auto" w:fill="5B9BD5" w:themeFill="accent5"/>
          </w:tcPr>
          <w:p w14:paraId="4B9B9C11" w14:textId="77777777" w:rsidR="00813B97" w:rsidRPr="004A67E0" w:rsidRDefault="00996B9F" w:rsidP="00996B9F">
            <w:pPr>
              <w:spacing w:after="0" w:line="360" w:lineRule="auto"/>
              <w:jc w:val="center"/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lastRenderedPageBreak/>
              <w:t>BIBLIOGRÁFICAS</w:t>
            </w:r>
          </w:p>
        </w:tc>
        <w:tc>
          <w:tcPr>
            <w:tcW w:w="2191" w:type="pct"/>
            <w:shd w:val="clear" w:color="auto" w:fill="5B9BD5" w:themeFill="accent5"/>
            <w:vAlign w:val="center"/>
          </w:tcPr>
          <w:p w14:paraId="2BBF0B1F" w14:textId="77777777" w:rsidR="00813B97" w:rsidRPr="004A67E0" w:rsidRDefault="00996B9F" w:rsidP="00996B9F">
            <w:pPr>
              <w:spacing w:after="0" w:line="360" w:lineRule="auto"/>
              <w:jc w:val="center"/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</w:pPr>
            <w:r w:rsidRPr="004A67E0">
              <w:rPr>
                <w:rFonts w:ascii="Cambria" w:eastAsia="Times New Roman" w:hAnsi="Cambria" w:cs="Arial"/>
                <w:b/>
                <w:color w:val="FFFFFF" w:themeColor="background1"/>
                <w:sz w:val="20"/>
                <w:szCs w:val="20"/>
              </w:rPr>
              <w:t>OTRAS</w:t>
            </w:r>
          </w:p>
        </w:tc>
      </w:tr>
      <w:tr w:rsidR="00813B97" w:rsidRPr="004A67E0" w14:paraId="6F0A56C5" w14:textId="77777777" w:rsidTr="00034E68">
        <w:tc>
          <w:tcPr>
            <w:tcW w:w="2809" w:type="pct"/>
          </w:tcPr>
          <w:p w14:paraId="22D49813" w14:textId="77777777" w:rsidR="00ED1E71" w:rsidRPr="004A67E0" w:rsidRDefault="00ED1E71" w:rsidP="00747624">
            <w:pPr>
              <w:spacing w:line="240" w:lineRule="auto"/>
              <w:ind w:left="709" w:hanging="709"/>
              <w:rPr>
                <w:rFonts w:ascii="Cambria" w:hAnsi="Cambria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Alba, Alicia de (Coord.) (1997). </w:t>
            </w:r>
            <w:r w:rsidRPr="004A67E0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El currículum universitario. De cara al nuevo milenio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México: UNAM-CESU.</w:t>
            </w:r>
          </w:p>
          <w:p w14:paraId="50DAE306" w14:textId="77777777" w:rsidR="00747624" w:rsidRPr="004A67E0" w:rsidRDefault="00747624" w:rsidP="00747624">
            <w:pPr>
              <w:spacing w:line="240" w:lineRule="auto"/>
              <w:ind w:left="709" w:hanging="709"/>
              <w:rPr>
                <w:rFonts w:ascii="Cambria" w:hAnsi="Cambria"/>
                <w:sz w:val="20"/>
                <w:szCs w:val="20"/>
              </w:rPr>
            </w:pPr>
            <w:r w:rsidRPr="004A67E0">
              <w:rPr>
                <w:rFonts w:ascii="Cambria" w:hAnsi="Cambria"/>
                <w:sz w:val="20"/>
                <w:szCs w:val="20"/>
              </w:rPr>
              <w:t xml:space="preserve">Angulo, José Félix y Nieves Blanco (coord.) (1994). </w:t>
            </w:r>
            <w:r w:rsidRPr="004A67E0">
              <w:rPr>
                <w:rFonts w:ascii="Cambria" w:hAnsi="Cambria"/>
                <w:i/>
                <w:iCs/>
                <w:sz w:val="20"/>
                <w:szCs w:val="20"/>
              </w:rPr>
              <w:t>Teoría y desarrollo del curriculum.</w:t>
            </w:r>
            <w:r w:rsidRPr="004A67E0">
              <w:rPr>
                <w:rFonts w:ascii="Cambria" w:hAnsi="Cambria"/>
                <w:sz w:val="20"/>
                <w:szCs w:val="20"/>
              </w:rPr>
              <w:t xml:space="preserve"> España: Aljibe.</w:t>
            </w:r>
          </w:p>
          <w:p w14:paraId="78443A03" w14:textId="77777777" w:rsidR="00747624" w:rsidRPr="004A67E0" w:rsidRDefault="00747624" w:rsidP="00747624">
            <w:pPr>
              <w:spacing w:line="240" w:lineRule="auto"/>
              <w:ind w:left="709" w:hanging="709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Díaz -Barriga Casales, Ángel (1984). </w:t>
            </w:r>
            <w:r w:rsidRPr="004A67E0"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  <w:t>Didáctica y currículo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. México: </w:t>
            </w: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Nuevomar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</w:t>
            </w:r>
          </w:p>
          <w:p w14:paraId="6C728750" w14:textId="77777777" w:rsidR="00747624" w:rsidRPr="004A67E0" w:rsidRDefault="00747624" w:rsidP="00747624">
            <w:pPr>
              <w:spacing w:line="240" w:lineRule="auto"/>
              <w:ind w:left="709" w:hanging="709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sz w:val="20"/>
                <w:szCs w:val="20"/>
              </w:rPr>
              <w:t xml:space="preserve">Escudero, Juan Manuel (1998). </w:t>
            </w:r>
            <w:r w:rsidRPr="004A67E0">
              <w:rPr>
                <w:rFonts w:ascii="Cambria" w:hAnsi="Cambria"/>
                <w:i/>
                <w:iCs/>
                <w:sz w:val="20"/>
                <w:szCs w:val="20"/>
              </w:rPr>
              <w:t>Diseño, desarrollo e innovación del curriculum.</w:t>
            </w:r>
            <w:r w:rsidRPr="004A67E0">
              <w:rPr>
                <w:rFonts w:ascii="Cambria" w:hAnsi="Cambria"/>
                <w:sz w:val="20"/>
                <w:szCs w:val="20"/>
              </w:rPr>
              <w:t xml:space="preserve"> España: Síntesis Educación.</w:t>
            </w:r>
          </w:p>
          <w:p w14:paraId="00BDFC95" w14:textId="77777777" w:rsidR="00747624" w:rsidRPr="004A67E0" w:rsidRDefault="00EF0E93" w:rsidP="00747624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Freire, Paulo (2016). </w:t>
            </w: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El maestro sin recetas. El desafío de enseñar en un mundo cambiante.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México: Siglo XXI Editores.</w:t>
            </w:r>
          </w:p>
          <w:p w14:paraId="138F7EA1" w14:textId="77777777" w:rsidR="00EF0E93" w:rsidRPr="004A67E0" w:rsidRDefault="00EF0E93" w:rsidP="00747624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Freire, Paulo (2016). </w:t>
            </w: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Pedagogía de los sueños posibles. Por qué docentes y alumnos necesitan reinventarse en cada momento de la historia.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México: Siglo XXI Editores.</w:t>
            </w:r>
          </w:p>
          <w:p w14:paraId="02F99732" w14:textId="77777777" w:rsidR="00B91208" w:rsidRPr="004A67E0" w:rsidRDefault="00B91208" w:rsidP="00747624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Goodson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Ivor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F. (2000). </w:t>
            </w: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El cambio en el curriculum. España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: Octaedro.</w:t>
            </w:r>
          </w:p>
          <w:p w14:paraId="3C2A1AB0" w14:textId="77777777" w:rsidR="00747624" w:rsidRPr="004A67E0" w:rsidRDefault="00747624" w:rsidP="00747624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Kemmis, Stephen (1998). </w:t>
            </w: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 xml:space="preserve">El Curriculum. </w:t>
            </w:r>
            <w:r w:rsidRPr="004A67E0"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  <w:t>Más allá de la teoría de la reproducción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Madrid: Morata.</w:t>
            </w:r>
          </w:p>
          <w:p w14:paraId="364EB901" w14:textId="77777777" w:rsidR="00747624" w:rsidRPr="004A67E0" w:rsidRDefault="00747624" w:rsidP="00747624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Lundgren, </w:t>
            </w: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Ulf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P. (1992). </w:t>
            </w:r>
            <w:r w:rsidRPr="004A67E0"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  <w:t>Teoría del curriculum y escolarización</w:t>
            </w: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.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Madrid: Morata.</w:t>
            </w:r>
          </w:p>
          <w:p w14:paraId="051C331C" w14:textId="77777777" w:rsidR="00747624" w:rsidRPr="004A67E0" w:rsidRDefault="00747624" w:rsidP="00747624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Stenhouse, Lawrence (1991). </w:t>
            </w:r>
            <w:r w:rsidRPr="004A67E0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 xml:space="preserve">Investigación y desarrollo del currículo. 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Madrid: Morata.</w:t>
            </w:r>
          </w:p>
          <w:p w14:paraId="25E1612F" w14:textId="77777777" w:rsidR="00747624" w:rsidRPr="004A67E0" w:rsidRDefault="00747624" w:rsidP="00747624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Taba, Hilda (1974). </w:t>
            </w:r>
            <w:r w:rsidRPr="004A67E0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Elaboración del currículo. Teoría y práctica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Buenos Aires: Troquel.</w:t>
            </w:r>
          </w:p>
          <w:p w14:paraId="525A21C3" w14:textId="77777777" w:rsidR="00747624" w:rsidRPr="004A67E0" w:rsidRDefault="00747624" w:rsidP="00747624">
            <w:pPr>
              <w:spacing w:line="240" w:lineRule="auto"/>
              <w:ind w:left="709" w:hanging="709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Torres Hernández, Rosa María (1998).</w:t>
            </w:r>
            <w:r w:rsidRPr="004A67E0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 Paradigmas del currículum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, en </w:t>
            </w: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La Vasija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, Núm. 2 abril-julio 1998, UPN, México.</w:t>
            </w:r>
          </w:p>
          <w:p w14:paraId="66CE1FF0" w14:textId="77777777" w:rsidR="00747624" w:rsidRPr="004A67E0" w:rsidRDefault="00747624" w:rsidP="00747624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Torres </w:t>
            </w: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Santomé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Jurjo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(1996). </w:t>
            </w:r>
            <w:r w:rsidRPr="004A67E0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Globalización e interdisciplinariedad: el curriculum integrado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. Madrid: Morata. Torres, </w:t>
            </w: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Jurjo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. (2003). </w:t>
            </w:r>
            <w:r w:rsidRPr="004A67E0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El currículum oculto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Madrid: Morata.</w:t>
            </w:r>
          </w:p>
          <w:p w14:paraId="0CAC1BD3" w14:textId="77777777" w:rsidR="00996B9F" w:rsidRPr="004A67E0" w:rsidRDefault="00747624" w:rsidP="00EF0E93">
            <w:pPr>
              <w:spacing w:line="240" w:lineRule="auto"/>
              <w:ind w:left="709" w:hanging="709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Tyler, Ralph (1982). </w:t>
            </w:r>
            <w:r w:rsidRPr="004A67E0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Principios básicos del currículum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Buenos Aires: Troquel.</w:t>
            </w:r>
          </w:p>
        </w:tc>
        <w:tc>
          <w:tcPr>
            <w:tcW w:w="2191" w:type="pct"/>
          </w:tcPr>
          <w:p w14:paraId="41B414C4" w14:textId="77777777" w:rsidR="003D3F6A" w:rsidRPr="004A67E0" w:rsidRDefault="003D3F6A" w:rsidP="003D3F6A">
            <w:pPr>
              <w:autoSpaceDE w:val="0"/>
              <w:autoSpaceDN w:val="0"/>
              <w:adjustRightInd w:val="0"/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Barrón Tirado, Concepción (Coord.) (2004). </w:t>
            </w: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Currículum y actores. Diversas miradas.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México: UNAM-CESU.</w:t>
            </w:r>
          </w:p>
          <w:p w14:paraId="348D7600" w14:textId="77777777" w:rsidR="003D3F6A" w:rsidRPr="004A67E0" w:rsidRDefault="003D3F6A" w:rsidP="003D3F6A">
            <w:pPr>
              <w:autoSpaceDE w:val="0"/>
              <w:autoSpaceDN w:val="0"/>
              <w:adjustRightInd w:val="0"/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Carr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, Wilfred (2002). </w:t>
            </w:r>
            <w:r w:rsidRPr="004A67E0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Una teoría para la educación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Madrid: Morata.</w:t>
            </w:r>
          </w:p>
          <w:p w14:paraId="31F4ACD3" w14:textId="77777777" w:rsidR="00034E68" w:rsidRPr="004A67E0" w:rsidRDefault="003D3F6A" w:rsidP="003D3F6A">
            <w:pPr>
              <w:spacing w:after="0" w:line="240" w:lineRule="auto"/>
              <w:ind w:left="709" w:hanging="709"/>
              <w:contextualSpacing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Coll, César (1991). </w:t>
            </w:r>
            <w:r w:rsidRPr="004A67E0">
              <w:rPr>
                <w:rFonts w:ascii="Cambria" w:hAnsi="Cambria"/>
                <w:i/>
                <w:color w:val="000000"/>
                <w:sz w:val="20"/>
                <w:szCs w:val="20"/>
              </w:rPr>
              <w:t>Psicología y currículum.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Barcelona: Paidós</w:t>
            </w:r>
            <w:r w:rsidR="00034E68" w:rsidRPr="004A67E0">
              <w:rPr>
                <w:rFonts w:ascii="Cambria" w:hAnsi="Cambria"/>
                <w:color w:val="000000"/>
                <w:sz w:val="20"/>
                <w:szCs w:val="20"/>
              </w:rPr>
              <w:t>.</w:t>
            </w:r>
          </w:p>
          <w:p w14:paraId="1296F7CB" w14:textId="77777777" w:rsidR="00813B97" w:rsidRPr="004A67E0" w:rsidRDefault="003D3F6A" w:rsidP="00EF0E93">
            <w:pPr>
              <w:spacing w:before="240" w:after="240" w:line="240" w:lineRule="auto"/>
              <w:ind w:left="709" w:hanging="709"/>
              <w:contextualSpacing/>
              <w:jc w:val="both"/>
              <w:rPr>
                <w:rFonts w:ascii="Cambria" w:hAnsi="Cambria"/>
                <w:iCs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iCs/>
                <w:color w:val="000000"/>
                <w:sz w:val="20"/>
                <w:szCs w:val="20"/>
              </w:rPr>
              <w:t>Díaz-</w:t>
            </w:r>
            <w:r w:rsidR="00747624" w:rsidRPr="004A67E0">
              <w:rPr>
                <w:rFonts w:ascii="Cambria" w:hAnsi="Cambria"/>
                <w:iCs/>
                <w:color w:val="000000"/>
                <w:sz w:val="20"/>
                <w:szCs w:val="20"/>
              </w:rPr>
              <w:t>Barriga</w:t>
            </w:r>
            <w:r w:rsidRPr="004A67E0">
              <w:rPr>
                <w:rFonts w:ascii="Cambria" w:hAnsi="Cambria"/>
                <w:iCs/>
                <w:color w:val="000000"/>
                <w:sz w:val="20"/>
                <w:szCs w:val="20"/>
              </w:rPr>
              <w:t xml:space="preserve"> Casales</w:t>
            </w:r>
            <w:r w:rsidR="00747624" w:rsidRPr="004A67E0">
              <w:rPr>
                <w:rFonts w:ascii="Cambria" w:hAnsi="Cambria"/>
                <w:iCs/>
                <w:color w:val="000000"/>
                <w:sz w:val="20"/>
                <w:szCs w:val="20"/>
              </w:rPr>
              <w:t>, Á</w:t>
            </w:r>
            <w:r w:rsidRPr="004A67E0">
              <w:rPr>
                <w:rFonts w:ascii="Cambria" w:hAnsi="Cambria"/>
                <w:iCs/>
                <w:color w:val="000000"/>
                <w:sz w:val="20"/>
                <w:szCs w:val="20"/>
              </w:rPr>
              <w:t>ngel</w:t>
            </w:r>
            <w:r w:rsidR="00747624" w:rsidRPr="004A67E0">
              <w:rPr>
                <w:rFonts w:ascii="Cambria" w:hAnsi="Cambria"/>
                <w:iCs/>
                <w:color w:val="000000"/>
                <w:sz w:val="20"/>
                <w:szCs w:val="20"/>
              </w:rPr>
              <w:t xml:space="preserve"> (2003). Currículum. Tensiones conceptuales y prácticas.</w:t>
            </w:r>
            <w:r w:rsidR="00747624" w:rsidRPr="004A67E0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 xml:space="preserve"> Revista Electrónica de Investigación Educativa, </w:t>
            </w:r>
            <w:r w:rsidR="00747624" w:rsidRPr="004A67E0">
              <w:rPr>
                <w:rFonts w:ascii="Cambria" w:hAnsi="Cambria"/>
                <w:iCs/>
                <w:color w:val="000000"/>
                <w:sz w:val="20"/>
                <w:szCs w:val="20"/>
              </w:rPr>
              <w:t xml:space="preserve">5 (2). Consultado en: </w:t>
            </w:r>
            <w:hyperlink r:id="rId7" w:history="1">
              <w:r w:rsidRPr="004A67E0">
                <w:rPr>
                  <w:rStyle w:val="Hipervnculo"/>
                  <w:rFonts w:ascii="Cambria" w:hAnsi="Cambria"/>
                  <w:sz w:val="20"/>
                  <w:szCs w:val="20"/>
                </w:rPr>
                <w:t>http://redie.ens.uabc.mx/vol5no2/contenido-diazbarriga.html18</w:t>
              </w:r>
            </w:hyperlink>
          </w:p>
          <w:p w14:paraId="44ACD1C1" w14:textId="77777777" w:rsidR="00034E68" w:rsidRPr="004A67E0" w:rsidRDefault="00034E68" w:rsidP="00EF0E93">
            <w:pPr>
              <w:spacing w:before="160" w:line="240" w:lineRule="auto"/>
              <w:ind w:left="709" w:hanging="709"/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Eggleston</w:t>
            </w:r>
            <w:proofErr w:type="spellEnd"/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, John (1980). </w:t>
            </w:r>
            <w:r w:rsidRPr="004A67E0"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  <w:t>Sociología del currículo escolar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Buenos Aires: Troquel.</w:t>
            </w:r>
          </w:p>
          <w:p w14:paraId="34F7BCFE" w14:textId="77777777" w:rsidR="00034E68" w:rsidRPr="004A67E0" w:rsidRDefault="00034E68" w:rsidP="003D3F6A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sz w:val="20"/>
                <w:szCs w:val="20"/>
              </w:rPr>
              <w:t xml:space="preserve">Freire, Paulo &amp; Ira Shor (2014). </w:t>
            </w:r>
            <w:r w:rsidRPr="004A67E0">
              <w:rPr>
                <w:rFonts w:ascii="Cambria" w:hAnsi="Cambria"/>
                <w:i/>
                <w:sz w:val="20"/>
                <w:szCs w:val="20"/>
              </w:rPr>
              <w:t>Miedo y osadía: la cotidianidad del docente que se arriesga a practicar una pedagogía transformadora.</w:t>
            </w:r>
            <w:r w:rsidRPr="004A67E0">
              <w:rPr>
                <w:rFonts w:ascii="Cambria" w:hAnsi="Cambria"/>
                <w:sz w:val="20"/>
                <w:szCs w:val="20"/>
              </w:rPr>
              <w:t xml:space="preserve"> México: Siglo XXI Editores.</w:t>
            </w:r>
          </w:p>
          <w:p w14:paraId="1F1A3AFC" w14:textId="77777777" w:rsidR="003D3F6A" w:rsidRPr="004A67E0" w:rsidRDefault="003D3F6A" w:rsidP="003D3F6A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Gimeno Sacristán, José (1989). </w:t>
            </w:r>
            <w:r w:rsidRPr="004A67E0"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  <w:t>El currículo: una reflexión sobre la práctica</w:t>
            </w:r>
            <w:r w:rsidRPr="004A67E0">
              <w:rPr>
                <w:rFonts w:ascii="Cambria" w:hAnsi="Cambria"/>
                <w:bCs/>
                <w:color w:val="000000"/>
                <w:sz w:val="20"/>
                <w:szCs w:val="20"/>
              </w:rPr>
              <w:t>.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 Madrid: Morata.</w:t>
            </w:r>
          </w:p>
          <w:p w14:paraId="4C559FCD" w14:textId="77777777" w:rsidR="003D3F6A" w:rsidRPr="004A67E0" w:rsidRDefault="003D3F6A" w:rsidP="003D3F6A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Gimeno Sacristán, José y Pérez-Gómez, Ángel (1993). </w:t>
            </w:r>
            <w:r w:rsidRPr="004A67E0"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  <w:t>Comprender y transformar la enseñanza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Madrid: Morata.</w:t>
            </w:r>
          </w:p>
          <w:p w14:paraId="0BE0558A" w14:textId="77777777" w:rsidR="003D3F6A" w:rsidRPr="004A67E0" w:rsidRDefault="003D3F6A" w:rsidP="003D3F6A">
            <w:pPr>
              <w:spacing w:line="240" w:lineRule="auto"/>
              <w:ind w:left="709" w:hanging="709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Giroux, Henry (1996). </w:t>
            </w:r>
            <w:r w:rsidRPr="004A67E0"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  <w:t>Placeres inquietantes</w:t>
            </w:r>
            <w:r w:rsidRPr="004A67E0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. 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Barcelona: Paidós Educador.</w:t>
            </w:r>
          </w:p>
          <w:p w14:paraId="383E4F59" w14:textId="77777777" w:rsidR="00034E68" w:rsidRPr="004A67E0" w:rsidRDefault="003D3F6A" w:rsidP="003D3F6A">
            <w:pPr>
              <w:spacing w:after="0" w:line="240" w:lineRule="auto"/>
              <w:ind w:left="709" w:hanging="709"/>
              <w:contextualSpacing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4A67E0">
              <w:rPr>
                <w:rFonts w:ascii="Cambria" w:hAnsi="Cambria"/>
                <w:sz w:val="20"/>
                <w:szCs w:val="20"/>
              </w:rPr>
              <w:t xml:space="preserve">Torres </w:t>
            </w:r>
            <w:proofErr w:type="spellStart"/>
            <w:r w:rsidRPr="004A67E0">
              <w:rPr>
                <w:rFonts w:ascii="Cambria" w:hAnsi="Cambria"/>
                <w:sz w:val="20"/>
                <w:szCs w:val="20"/>
              </w:rPr>
              <w:t>Santomé</w:t>
            </w:r>
            <w:proofErr w:type="spellEnd"/>
            <w:r w:rsidRPr="004A67E0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4A67E0">
              <w:rPr>
                <w:rFonts w:ascii="Cambria" w:hAnsi="Cambria"/>
                <w:sz w:val="20"/>
                <w:szCs w:val="20"/>
              </w:rPr>
              <w:t>Jurjo</w:t>
            </w:r>
            <w:proofErr w:type="spellEnd"/>
            <w:r w:rsidRPr="004A67E0">
              <w:rPr>
                <w:rFonts w:ascii="Cambria" w:hAnsi="Cambria"/>
                <w:sz w:val="20"/>
                <w:szCs w:val="20"/>
              </w:rPr>
              <w:t xml:space="preserve"> (2011). </w:t>
            </w:r>
            <w:r w:rsidRPr="004A67E0">
              <w:rPr>
                <w:rFonts w:ascii="Cambria" w:hAnsi="Cambria"/>
                <w:i/>
                <w:sz w:val="20"/>
                <w:szCs w:val="20"/>
              </w:rPr>
              <w:t xml:space="preserve">La justicia curricular. El caballo de Troya de la cultura escolar. </w:t>
            </w:r>
            <w:r w:rsidRPr="004A67E0">
              <w:rPr>
                <w:rFonts w:ascii="Cambria" w:hAnsi="Cambria"/>
                <w:sz w:val="20"/>
                <w:szCs w:val="20"/>
              </w:rPr>
              <w:t>Madrid: Morata.</w:t>
            </w:r>
          </w:p>
          <w:p w14:paraId="4976D65C" w14:textId="77777777" w:rsidR="003D3F6A" w:rsidRPr="004A67E0" w:rsidRDefault="00034E68" w:rsidP="00034E68">
            <w:pPr>
              <w:spacing w:after="0" w:line="240" w:lineRule="auto"/>
              <w:ind w:left="709" w:hanging="709"/>
              <w:contextualSpacing/>
              <w:jc w:val="both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 xml:space="preserve">Zabalza, Miguel A. (1987). </w:t>
            </w:r>
            <w:r w:rsidRPr="004A67E0">
              <w:rPr>
                <w:rFonts w:ascii="Cambria" w:hAnsi="Cambria"/>
                <w:bCs/>
                <w:i/>
                <w:color w:val="000000"/>
                <w:sz w:val="20"/>
                <w:szCs w:val="20"/>
              </w:rPr>
              <w:t>Diseño y desarrollo curricular</w:t>
            </w:r>
            <w:r w:rsidRPr="004A67E0">
              <w:rPr>
                <w:rFonts w:ascii="Cambria" w:hAnsi="Cambria"/>
                <w:color w:val="000000"/>
                <w:sz w:val="20"/>
                <w:szCs w:val="20"/>
              </w:rPr>
              <w:t>. Madrid: Narcea.</w:t>
            </w:r>
          </w:p>
        </w:tc>
      </w:tr>
    </w:tbl>
    <w:p w14:paraId="7AAFAB1D" w14:textId="77777777" w:rsidR="00813B97" w:rsidRPr="004A67E0" w:rsidRDefault="00813B97">
      <w:pPr>
        <w:rPr>
          <w:rFonts w:ascii="Cambria" w:hAnsi="Cambria"/>
          <w:sz w:val="20"/>
          <w:szCs w:val="20"/>
        </w:rPr>
      </w:pPr>
    </w:p>
    <w:sectPr w:rsidR="00813B97" w:rsidRPr="004A67E0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ED50C" w14:textId="77777777" w:rsidR="009A0B7E" w:rsidRDefault="009A0B7E" w:rsidP="003A59C8">
      <w:pPr>
        <w:spacing w:after="0" w:line="240" w:lineRule="auto"/>
      </w:pPr>
      <w:r>
        <w:separator/>
      </w:r>
    </w:p>
  </w:endnote>
  <w:endnote w:type="continuationSeparator" w:id="0">
    <w:p w14:paraId="29CE021F" w14:textId="77777777" w:rsidR="009A0B7E" w:rsidRDefault="009A0B7E" w:rsidP="003A5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ndhi Sans">
    <w:altName w:val="Calibri"/>
    <w:panose1 w:val="00000000000000000000"/>
    <w:charset w:val="00"/>
    <w:family w:val="modern"/>
    <w:notTrueType/>
    <w:pitch w:val="variable"/>
    <w:sig w:usb0="00000003" w:usb1="5000204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es-ES"/>
      </w:rPr>
      <w:id w:val="1433852610"/>
      <w:docPartObj>
        <w:docPartGallery w:val="Page Numbers (Bottom of Page)"/>
        <w:docPartUnique/>
      </w:docPartObj>
    </w:sdtPr>
    <w:sdtEndPr/>
    <w:sdtContent>
      <w:p w14:paraId="6221EF61" w14:textId="77777777" w:rsidR="003A59C8" w:rsidRDefault="003A59C8">
        <w:pPr>
          <w:pStyle w:val="Piedepgina"/>
          <w:jc w:val="center"/>
        </w:pPr>
        <w:r>
          <w:rPr>
            <w:lang w:val="es-ES"/>
          </w:rP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7560C" w:rsidRPr="0087560C">
          <w:rPr>
            <w:noProof/>
            <w:lang w:val="es-ES"/>
          </w:rPr>
          <w:t>1</w:t>
        </w:r>
        <w:r>
          <w:fldChar w:fldCharType="end"/>
        </w:r>
        <w:r>
          <w:rPr>
            <w:lang w:val="es-ES"/>
          </w:rPr>
          <w:t>]</w:t>
        </w:r>
      </w:p>
    </w:sdtContent>
  </w:sdt>
  <w:p w14:paraId="4AE937D6" w14:textId="77777777" w:rsidR="003A59C8" w:rsidRDefault="003A59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05245" w14:textId="77777777" w:rsidR="009A0B7E" w:rsidRDefault="009A0B7E" w:rsidP="003A59C8">
      <w:pPr>
        <w:spacing w:after="0" w:line="240" w:lineRule="auto"/>
      </w:pPr>
      <w:r>
        <w:separator/>
      </w:r>
    </w:p>
  </w:footnote>
  <w:footnote w:type="continuationSeparator" w:id="0">
    <w:p w14:paraId="1B1BED88" w14:textId="77777777" w:rsidR="009A0B7E" w:rsidRDefault="009A0B7E" w:rsidP="003A5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4"/>
      <w:gridCol w:w="1966"/>
    </w:tblGrid>
    <w:tr w:rsidR="00E5004B" w:rsidRPr="004B10D1" w14:paraId="00AA2B02" w14:textId="77777777" w:rsidTr="00683AE3">
      <w:trPr>
        <w:trHeight w:val="600"/>
      </w:trPr>
      <w:tc>
        <w:tcPr>
          <w:tcW w:w="9968" w:type="dxa"/>
          <w:vAlign w:val="center"/>
        </w:tcPr>
        <w:p w14:paraId="72B493F9" w14:textId="77777777" w:rsidR="00E5004B" w:rsidRPr="0090363F" w:rsidRDefault="00E5004B" w:rsidP="00E5004B">
          <w:pPr>
            <w:pStyle w:val="Encabezado"/>
            <w:jc w:val="center"/>
            <w:rPr>
              <w:rFonts w:ascii="Cambria" w:hAnsi="Cambria"/>
              <w:i/>
              <w:sz w:val="24"/>
              <w:szCs w:val="26"/>
            </w:rPr>
          </w:pPr>
          <w:bookmarkStart w:id="2" w:name="_Hlk511637296"/>
          <w:r>
            <w:rPr>
              <w:rFonts w:ascii="Cambria" w:hAnsi="Cambria"/>
              <w:i/>
              <w:sz w:val="24"/>
              <w:szCs w:val="26"/>
            </w:rPr>
            <w:t xml:space="preserve">Programa de estudio: </w:t>
          </w:r>
          <w:r>
            <w:rPr>
              <w:rFonts w:ascii="Cambria" w:hAnsi="Cambria"/>
              <w:i/>
              <w:szCs w:val="26"/>
            </w:rPr>
            <w:t>Teoría curricular</w:t>
          </w:r>
        </w:p>
      </w:tc>
      <w:tc>
        <w:tcPr>
          <w:tcW w:w="2786" w:type="dxa"/>
        </w:tcPr>
        <w:p w14:paraId="149DB15E" w14:textId="77777777" w:rsidR="00E5004B" w:rsidRPr="004B10D1" w:rsidRDefault="00E5004B" w:rsidP="00E5004B">
          <w:pPr>
            <w:pStyle w:val="Encabezado"/>
            <w:jc w:val="center"/>
            <w:rPr>
              <w:rFonts w:ascii="Cambria" w:hAnsi="Cambria"/>
              <w:b/>
              <w:bCs/>
              <w:color w:val="4F81BD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80768" behindDoc="0" locked="0" layoutInCell="1" allowOverlap="1" wp14:anchorId="461B7BC7" wp14:editId="27684E2C">
                <wp:simplePos x="0" y="0"/>
                <wp:positionH relativeFrom="column">
                  <wp:posOffset>15241</wp:posOffset>
                </wp:positionH>
                <wp:positionV relativeFrom="paragraph">
                  <wp:posOffset>-200025</wp:posOffset>
                </wp:positionV>
                <wp:extent cx="1470062" cy="612775"/>
                <wp:effectExtent l="0" t="0" r="0" b="0"/>
                <wp:wrapNone/>
                <wp:docPr id="2" name="Imagen 2" descr="http://www.academicos.ugto.mx/media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://www.academicos.ugto.mx/media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562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0062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bookmarkEnd w:id="2"/>
  </w:tbl>
  <w:p w14:paraId="1B40A69F" w14:textId="77777777" w:rsidR="00E5004B" w:rsidRDefault="00E500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9260D"/>
    <w:multiLevelType w:val="hybridMultilevel"/>
    <w:tmpl w:val="DDDA84BC"/>
    <w:lvl w:ilvl="0" w:tplc="20FE2C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460EF"/>
    <w:multiLevelType w:val="hybridMultilevel"/>
    <w:tmpl w:val="A71A0EBC"/>
    <w:lvl w:ilvl="0" w:tplc="8960B4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8E09ED"/>
    <w:multiLevelType w:val="hybridMultilevel"/>
    <w:tmpl w:val="3202F394"/>
    <w:lvl w:ilvl="0" w:tplc="74E25C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FB1949"/>
    <w:multiLevelType w:val="hybridMultilevel"/>
    <w:tmpl w:val="336E58F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00F90"/>
    <w:multiLevelType w:val="hybridMultilevel"/>
    <w:tmpl w:val="6A40B5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F5B10"/>
    <w:multiLevelType w:val="hybridMultilevel"/>
    <w:tmpl w:val="972E61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B2E7D"/>
    <w:multiLevelType w:val="hybridMultilevel"/>
    <w:tmpl w:val="5B4CDC8A"/>
    <w:lvl w:ilvl="0" w:tplc="A906B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500AA"/>
    <w:multiLevelType w:val="hybridMultilevel"/>
    <w:tmpl w:val="9CF63216"/>
    <w:lvl w:ilvl="0" w:tplc="FC30523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C4D7A"/>
    <w:multiLevelType w:val="hybridMultilevel"/>
    <w:tmpl w:val="9D66F94C"/>
    <w:lvl w:ilvl="0" w:tplc="3AE037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F3318C"/>
    <w:multiLevelType w:val="hybridMultilevel"/>
    <w:tmpl w:val="1EDC26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543AC"/>
    <w:multiLevelType w:val="hybridMultilevel"/>
    <w:tmpl w:val="93F253F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2255D"/>
    <w:multiLevelType w:val="hybridMultilevel"/>
    <w:tmpl w:val="01AED85E"/>
    <w:lvl w:ilvl="0" w:tplc="89C838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D52C21"/>
    <w:multiLevelType w:val="hybridMultilevel"/>
    <w:tmpl w:val="93F253F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  <w:num w:numId="11">
    <w:abstractNumId w:val="8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97"/>
    <w:rsid w:val="00034E68"/>
    <w:rsid w:val="00271439"/>
    <w:rsid w:val="0030799E"/>
    <w:rsid w:val="00331585"/>
    <w:rsid w:val="00392DCE"/>
    <w:rsid w:val="0039785D"/>
    <w:rsid w:val="003A59C8"/>
    <w:rsid w:val="003D3F6A"/>
    <w:rsid w:val="00423570"/>
    <w:rsid w:val="00491EB9"/>
    <w:rsid w:val="004A4FA0"/>
    <w:rsid w:val="004A67E0"/>
    <w:rsid w:val="004B0FA1"/>
    <w:rsid w:val="004E52F7"/>
    <w:rsid w:val="004F2751"/>
    <w:rsid w:val="00520283"/>
    <w:rsid w:val="005F540B"/>
    <w:rsid w:val="00601027"/>
    <w:rsid w:val="00611BAE"/>
    <w:rsid w:val="0061497C"/>
    <w:rsid w:val="006D46E9"/>
    <w:rsid w:val="006F7859"/>
    <w:rsid w:val="006F798F"/>
    <w:rsid w:val="00726560"/>
    <w:rsid w:val="00747624"/>
    <w:rsid w:val="00773B68"/>
    <w:rsid w:val="0077611D"/>
    <w:rsid w:val="00786FDB"/>
    <w:rsid w:val="007C5CB4"/>
    <w:rsid w:val="008104D6"/>
    <w:rsid w:val="00813B97"/>
    <w:rsid w:val="00817459"/>
    <w:rsid w:val="0087560C"/>
    <w:rsid w:val="0098647D"/>
    <w:rsid w:val="009913BB"/>
    <w:rsid w:val="00996B9F"/>
    <w:rsid w:val="009A0B7E"/>
    <w:rsid w:val="009C560A"/>
    <w:rsid w:val="00A525A1"/>
    <w:rsid w:val="00AE1421"/>
    <w:rsid w:val="00B03C76"/>
    <w:rsid w:val="00B06900"/>
    <w:rsid w:val="00B91208"/>
    <w:rsid w:val="00BE66A6"/>
    <w:rsid w:val="00CC62B8"/>
    <w:rsid w:val="00CF4684"/>
    <w:rsid w:val="00D17023"/>
    <w:rsid w:val="00D2656A"/>
    <w:rsid w:val="00DC098C"/>
    <w:rsid w:val="00DE4B9A"/>
    <w:rsid w:val="00DF4E26"/>
    <w:rsid w:val="00E17A8E"/>
    <w:rsid w:val="00E5004B"/>
    <w:rsid w:val="00E816F1"/>
    <w:rsid w:val="00EA73F9"/>
    <w:rsid w:val="00ED1E71"/>
    <w:rsid w:val="00EF0E93"/>
    <w:rsid w:val="00F5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4A57B"/>
  <w15:docId w15:val="{C5A7599D-88A1-42C3-BD17-3F5A0B1B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97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7459"/>
    <w:pPr>
      <w:ind w:left="720"/>
      <w:contextualSpacing/>
    </w:pPr>
  </w:style>
  <w:style w:type="character" w:customStyle="1" w:styleId="A4">
    <w:name w:val="A4"/>
    <w:uiPriority w:val="99"/>
    <w:rsid w:val="00601027"/>
    <w:rPr>
      <w:rFonts w:cs="Gandhi Sans"/>
      <w:color w:val="000000"/>
      <w:sz w:val="20"/>
      <w:szCs w:val="20"/>
    </w:rPr>
  </w:style>
  <w:style w:type="paragraph" w:styleId="Sangradetextonormal">
    <w:name w:val="Body Text Indent"/>
    <w:basedOn w:val="Normal"/>
    <w:link w:val="SangradetextonormalCar"/>
    <w:rsid w:val="00D265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2656A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A59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59C8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3A59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59C8"/>
    <w:rPr>
      <w:rFonts w:eastAsiaTheme="minorEastAsia"/>
      <w:lang w:eastAsia="es-MX"/>
    </w:rPr>
  </w:style>
  <w:style w:type="character" w:styleId="Hipervnculo">
    <w:name w:val="Hyperlink"/>
    <w:basedOn w:val="Fuentedeprrafopredeter"/>
    <w:uiPriority w:val="99"/>
    <w:unhideWhenUsed/>
    <w:rsid w:val="003D3F6A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D3F6A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0C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edie.ens.uabc.mx/vol5no2/contenido-diazbarriga.html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1638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cirycervera</dc:creator>
  <cp:lastModifiedBy>Alberto Silva Rodriguez</cp:lastModifiedBy>
  <cp:revision>5</cp:revision>
  <dcterms:created xsi:type="dcterms:W3CDTF">2018-01-23T05:13:00Z</dcterms:created>
  <dcterms:modified xsi:type="dcterms:W3CDTF">2019-07-01T15:53:00Z</dcterms:modified>
</cp:coreProperties>
</file>