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18"/>
        <w:gridCol w:w="201"/>
        <w:gridCol w:w="493"/>
        <w:gridCol w:w="176"/>
        <w:gridCol w:w="116"/>
        <w:gridCol w:w="179"/>
        <w:gridCol w:w="140"/>
        <w:gridCol w:w="286"/>
        <w:gridCol w:w="171"/>
        <w:gridCol w:w="299"/>
        <w:gridCol w:w="628"/>
        <w:gridCol w:w="255"/>
        <w:gridCol w:w="424"/>
        <w:gridCol w:w="291"/>
        <w:gridCol w:w="876"/>
        <w:gridCol w:w="29"/>
        <w:gridCol w:w="173"/>
        <w:gridCol w:w="26"/>
        <w:gridCol w:w="253"/>
        <w:gridCol w:w="290"/>
        <w:gridCol w:w="20"/>
        <w:gridCol w:w="36"/>
        <w:gridCol w:w="146"/>
        <w:gridCol w:w="56"/>
        <w:gridCol w:w="525"/>
        <w:gridCol w:w="26"/>
        <w:gridCol w:w="204"/>
        <w:gridCol w:w="230"/>
        <w:gridCol w:w="281"/>
        <w:gridCol w:w="572"/>
        <w:gridCol w:w="293"/>
        <w:gridCol w:w="25"/>
      </w:tblGrid>
      <w:tr w:rsidR="00813B97" w:rsidRPr="00E15ED0" w14:paraId="34F031B5" w14:textId="77777777" w:rsidTr="00FE1ED9">
        <w:trPr>
          <w:gridAfter w:val="1"/>
          <w:wAfter w:w="14" w:type="pct"/>
          <w:trHeight w:hRule="exact" w:val="510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2" w14:textId="77777777" w:rsidR="00813B97" w:rsidRPr="00E15ED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3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4" w14:textId="77777777" w:rsidR="00813B97" w:rsidRPr="00E15ED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E15ED0" w14:paraId="34F031BA" w14:textId="77777777" w:rsidTr="00FE1ED9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6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7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34F031B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14:paraId="34F031B9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1BE" w14:textId="77777777" w:rsidTr="00FE1ED9">
        <w:trPr>
          <w:gridAfter w:val="1"/>
          <w:wAfter w:w="14" w:type="pct"/>
          <w:trHeight w:hRule="exact" w:val="584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BB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BC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BD" w14:textId="77777777" w:rsidR="00813B97" w:rsidRPr="00E15ED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E15ED0" w14:paraId="34F031C3" w14:textId="77777777" w:rsidTr="00FE1ED9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B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031C0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34F031C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9" w:type="pct"/>
            <w:gridSpan w:val="23"/>
            <w:tcBorders>
              <w:left w:val="nil"/>
            </w:tcBorders>
            <w:vAlign w:val="center"/>
          </w:tcPr>
          <w:p w14:paraId="34F031C2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1CC" w14:textId="77777777" w:rsidTr="00FE1ED9">
        <w:trPr>
          <w:gridAfter w:val="1"/>
          <w:wAfter w:w="14" w:type="pct"/>
          <w:trHeight w:hRule="exact" w:val="592"/>
        </w:trPr>
        <w:tc>
          <w:tcPr>
            <w:tcW w:w="14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4" w14:textId="77777777" w:rsidR="00813B97" w:rsidRPr="00E15ED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C5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6" w14:textId="5BA2D4B0" w:rsidR="00813B97" w:rsidRPr="00E15ED0" w:rsidRDefault="00334E8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Educación</w:t>
            </w:r>
            <w:bookmarkStart w:id="1" w:name="_GoBack"/>
            <w:bookmarkEnd w:id="1"/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formal y no formal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C7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C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34F031C9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F031CA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CB" w14:textId="6DB5D414" w:rsidR="00813B97" w:rsidRPr="00E15ED0" w:rsidRDefault="00334E8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SHLI05296</w:t>
            </w:r>
          </w:p>
        </w:tc>
      </w:tr>
      <w:tr w:rsidR="00813B97" w:rsidRPr="00E15ED0" w14:paraId="34F031D2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2"/>
            <w:shd w:val="clear" w:color="auto" w:fill="FFFFFF"/>
            <w:vAlign w:val="center"/>
          </w:tcPr>
          <w:p w14:paraId="34F031CD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34F031CE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34F031C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34F031D0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34F031D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1DC" w14:textId="77777777" w:rsidTr="00FE1ED9">
        <w:trPr>
          <w:gridAfter w:val="1"/>
          <w:wAfter w:w="14" w:type="pct"/>
          <w:trHeight w:val="291"/>
        </w:trPr>
        <w:tc>
          <w:tcPr>
            <w:tcW w:w="7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3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1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4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5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6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7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9" w14:textId="30653D40" w:rsidR="00813B97" w:rsidRPr="00E15ED0" w:rsidRDefault="00FE1ED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DA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B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E15ED0" w14:paraId="34F031E6" w14:textId="77777777" w:rsidTr="00FE1ED9">
        <w:trPr>
          <w:gridAfter w:val="1"/>
          <w:wAfter w:w="14" w:type="pct"/>
          <w:trHeight w:val="254"/>
        </w:trPr>
        <w:tc>
          <w:tcPr>
            <w:tcW w:w="7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DD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DE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D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0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E2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1E3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4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5" w14:textId="77777777" w:rsidR="00813B97" w:rsidRPr="00E15ED0" w:rsidRDefault="00933172" w:rsidP="000B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HERMES ANTONIO VILLAFUERTE MOLINA</w:t>
            </w:r>
          </w:p>
        </w:tc>
      </w:tr>
      <w:tr w:rsidR="00813B97" w:rsidRPr="00E15ED0" w14:paraId="34F031E9" w14:textId="77777777" w:rsidTr="00D13567">
        <w:trPr>
          <w:trHeight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E7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F031E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813B97" w:rsidRPr="00E15ED0" w14:paraId="34F031F6" w14:textId="77777777" w:rsidTr="00FE1ED9">
        <w:trPr>
          <w:gridAfter w:val="1"/>
          <w:wAfter w:w="14" w:type="pct"/>
          <w:trHeight w:val="450"/>
        </w:trPr>
        <w:tc>
          <w:tcPr>
            <w:tcW w:w="124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EA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B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EC" w14:textId="77777777" w:rsidR="00813B97" w:rsidRPr="00E15ED0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D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EE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E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0" w14:textId="77777777" w:rsidR="00813B97" w:rsidRPr="00E15ED0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2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54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3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4" w14:textId="77777777" w:rsidR="00813B97" w:rsidRPr="00E15ED0" w:rsidRDefault="00ED2E9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6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5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203" w14:textId="77777777" w:rsidTr="00FE1ED9">
        <w:trPr>
          <w:gridAfter w:val="1"/>
          <w:wAfter w:w="14" w:type="pct"/>
          <w:trHeight w:val="450"/>
        </w:trPr>
        <w:tc>
          <w:tcPr>
            <w:tcW w:w="124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7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1F9" w14:textId="77777777" w:rsidR="00813B97" w:rsidRPr="00E15ED0" w:rsidRDefault="008A37F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1FA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4F031FB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1FC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1FD" w14:textId="77777777" w:rsidR="00813B97" w:rsidRPr="00E15ED0" w:rsidRDefault="008A37FB" w:rsidP="00ED2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12</w:t>
            </w:r>
            <w:r w:rsidR="00ED2E94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031FE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1F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0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0320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202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205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03204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20E" w14:textId="77777777" w:rsidTr="00FE1ED9">
        <w:trPr>
          <w:gridAfter w:val="1"/>
          <w:wAfter w:w="14" w:type="pct"/>
          <w:trHeight w:val="522"/>
        </w:trPr>
        <w:tc>
          <w:tcPr>
            <w:tcW w:w="11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6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7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8" w14:textId="6033C291" w:rsidR="00813B97" w:rsidRPr="00E15ED0" w:rsidRDefault="00C45C5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9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0A" w14:textId="77777777" w:rsidR="00813B97" w:rsidRPr="00E15ED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B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3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F0320C" w14:textId="6276F927" w:rsidR="00813B97" w:rsidRPr="00E15ED0" w:rsidRDefault="00C45C5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0320D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210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0F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15ED0" w14:paraId="34F0321D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03211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2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3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4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5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6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7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8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9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A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B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1C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813B97" w:rsidRPr="00E15ED0" w14:paraId="34F0321F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4F0321E" w14:textId="77777777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E15ED0" w14:paraId="34F03221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0" w14:textId="316FF650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TIPO DE CONOCIMIEN</w:t>
            </w:r>
            <w:r w:rsidR="00933172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TO:  (  </w:t>
            </w:r>
            <w:r w:rsidR="008163EB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="00933172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Disciplinaria   (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) Formativa   (    ) Metodológica</w:t>
            </w:r>
          </w:p>
        </w:tc>
      </w:tr>
      <w:tr w:rsidR="00813B97" w:rsidRPr="00E15ED0" w14:paraId="34F03224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2" w14:textId="2EC41430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ÁREA DE ORGANIZACIÓN CURRICULAR:   (    ) General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  ) Básica común 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   )  Básica disciplinar 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              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</w:t>
            </w:r>
            <w:r w:rsidR="00933172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(    )  Complementaria</w:t>
            </w:r>
          </w:p>
          <w:p w14:paraId="34F03223" w14:textId="347E6960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</w:t>
            </w:r>
            <w:r w:rsidRPr="00E15ED0">
              <w:rPr>
                <w:rFonts w:ascii="Cambria" w:eastAsia="Times New Roman" w:hAnsi="Cambria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) Complementaria  (    ) Nuclear   (      )  Investigación   (      ) Profesionalización</w:t>
            </w:r>
          </w:p>
        </w:tc>
      </w:tr>
      <w:tr w:rsidR="00813B97" w:rsidRPr="00E15ED0" w14:paraId="34F03226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5" w14:textId="77777777" w:rsidR="00813B97" w:rsidRPr="00E15ED0" w:rsidRDefault="00813B97" w:rsidP="0093317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933172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</w:t>
            </w:r>
            <w:r w:rsidRPr="00E15ED0">
              <w:rPr>
                <w:rFonts w:ascii="Cambria" w:eastAsia="Times New Roman" w:hAnsi="Cambria" w:cs="Arial"/>
                <w:bCs/>
                <w:color w:val="FF0000"/>
                <w:spacing w:val="-1"/>
                <w:sz w:val="20"/>
                <w:szCs w:val="20"/>
              </w:rPr>
              <w:t xml:space="preserve">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) Curso   (     ) Taller   (    ) Laboratorio   (     ) Seminario</w:t>
            </w:r>
          </w:p>
        </w:tc>
      </w:tr>
      <w:tr w:rsidR="00813B97" w:rsidRPr="00E15ED0" w14:paraId="34F03228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3227" w14:textId="7EA41739" w:rsidR="00813B97" w:rsidRPr="00E15ED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CARÁCTER DE LA UNIDAD DE APRENDIZAJE:  (  </w:t>
            </w:r>
            <w:r w:rsidRPr="00E15ED0">
              <w:rPr>
                <w:rFonts w:ascii="Cambria" w:eastAsia="Times New Roman" w:hAnsi="Cambria" w:cs="Arial"/>
                <w:bCs/>
                <w:color w:val="FF0000"/>
                <w:spacing w:val="-1"/>
                <w:sz w:val="20"/>
                <w:szCs w:val="20"/>
              </w:rPr>
              <w:t xml:space="preserve">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) Obligatoria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(    ) Recursable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  ) Optativa  </w:t>
            </w:r>
            <w:r w:rsidR="00FE1ED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(  </w:t>
            </w:r>
            <w:r w:rsidR="00CE67AC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440"/>
      </w:tblGrid>
      <w:tr w:rsidR="00813B97" w:rsidRPr="00E15ED0" w14:paraId="34F0322A" w14:textId="77777777" w:rsidTr="00FE1ED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9" w14:textId="77777777" w:rsidR="00813B97" w:rsidRPr="00E15ED0" w:rsidRDefault="00B06900" w:rsidP="00B06900">
            <w:pPr>
              <w:spacing w:after="0" w:line="360" w:lineRule="auto"/>
              <w:jc w:val="center"/>
              <w:rPr>
                <w:rFonts w:ascii="Cambria" w:hAnsi="Cambria"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E15ED0" w14:paraId="34F0322E" w14:textId="77777777" w:rsidTr="00FE1ED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34F0322B" w14:textId="272EB1E4" w:rsidR="00C2607E" w:rsidRPr="00E15ED0" w:rsidRDefault="00813B97" w:rsidP="00C2607E">
            <w:pPr>
              <w:spacing w:before="240" w:after="240" w:line="276" w:lineRule="auto"/>
              <w:jc w:val="both"/>
              <w:rPr>
                <w:rFonts w:ascii="Cambria" w:eastAsia="Times New Roman" w:hAnsi="Cambria" w:cs="Arial"/>
                <w:bCs/>
                <w:color w:val="FF0000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Para la impartición de esta unidad se sugiere la participación de profesional</w:t>
            </w:r>
            <w:r w:rsidR="004C1D3B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es con estudios </w:t>
            </w:r>
            <w:r w:rsidR="007A6E8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de </w:t>
            </w:r>
            <w:r w:rsidR="000707A3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posgrado </w:t>
            </w:r>
            <w:r w:rsidR="007A6E89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y</w:t>
            </w:r>
            <w:r w:rsidR="004C1D3B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experiencia </w:t>
            </w:r>
            <w:r w:rsidR="00E05EC6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en </w:t>
            </w:r>
            <w:r w:rsidR="00080CAA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Educación, Política y Gestión Educativa, Pedagogía, Desarrol</w:t>
            </w:r>
            <w:r w:rsidR="00144C5F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lo Educativo, Administración con enfoque a la</w:t>
            </w:r>
            <w:r w:rsidR="00080CAA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Gestión de Instituciones Educativas, Comunicación Educativa y afines</w:t>
            </w:r>
            <w:r w:rsidR="00FE7FCA" w:rsidRPr="00E15ED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.</w:t>
            </w:r>
          </w:p>
          <w:p w14:paraId="215C3834" w14:textId="5409D298" w:rsidR="00FE7FCA" w:rsidRPr="00E15ED0" w:rsidRDefault="00FE7FCA" w:rsidP="007C1CE8">
            <w:pPr>
              <w:spacing w:before="240" w:after="240"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>C</w:t>
            </w:r>
            <w:r w:rsidR="00C2607E" w:rsidRPr="00E15ED0">
              <w:rPr>
                <w:rFonts w:ascii="Cambria" w:hAnsi="Cambria" w:cs="Times New Roman"/>
                <w:sz w:val="20"/>
                <w:szCs w:val="20"/>
              </w:rPr>
              <w:t>ompetencias genéricas</w:t>
            </w:r>
            <w:r w:rsidR="00334E82" w:rsidRPr="00E15ED0">
              <w:rPr>
                <w:rFonts w:ascii="Cambria" w:hAnsi="Cambria" w:cs="Times New Roman"/>
                <w:sz w:val="20"/>
                <w:szCs w:val="20"/>
              </w:rPr>
              <w:t>:</w:t>
            </w:r>
          </w:p>
          <w:p w14:paraId="619A6740" w14:textId="0EE12010" w:rsidR="00FE7FCA" w:rsidRPr="00E15ED0" w:rsidRDefault="00FE7FCA" w:rsidP="00080CAA">
            <w:pPr>
              <w:spacing w:before="240" w:after="240"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Actúa bajo los principios de libertad, respeto, responsabilidad social y justicia que promueven una actuación íntegra en su desempeño profesional. </w:t>
            </w:r>
            <w:r w:rsidR="00080CAA" w:rsidRPr="00E15ED0">
              <w:rPr>
                <w:rFonts w:ascii="Cambria" w:hAnsi="Cambria" w:cs="Times New Roman"/>
                <w:sz w:val="20"/>
                <w:szCs w:val="20"/>
              </w:rPr>
              <w:t>Mantiene una actitud respetuosa hacia la interculturalidad y la diversidad para crear espacios de convivencia humana, académica y profesional y c</w:t>
            </w:r>
            <w:r w:rsidR="006A14AC" w:rsidRPr="00E15ED0">
              <w:rPr>
                <w:rFonts w:ascii="Cambria" w:hAnsi="Cambria" w:cs="Times New Roman"/>
                <w:sz w:val="20"/>
                <w:szCs w:val="20"/>
              </w:rPr>
              <w:t>onstruir sociedades incluyentes</w:t>
            </w:r>
          </w:p>
          <w:p w14:paraId="41619F5D" w14:textId="75EA6A2E" w:rsidR="000977F9" w:rsidRPr="00E15ED0" w:rsidRDefault="000977F9" w:rsidP="007C1CE8">
            <w:pPr>
              <w:spacing w:before="240" w:after="240"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>C</w:t>
            </w:r>
            <w:r w:rsidR="00080DDD" w:rsidRPr="00E15ED0">
              <w:rPr>
                <w:rFonts w:ascii="Cambria" w:hAnsi="Cambria" w:cs="Times New Roman"/>
                <w:sz w:val="20"/>
                <w:szCs w:val="20"/>
              </w:rPr>
              <w:t>ompetencias específicas</w:t>
            </w:r>
            <w:r w:rsidR="00334E82" w:rsidRPr="00E15ED0">
              <w:rPr>
                <w:rFonts w:ascii="Cambria" w:hAnsi="Cambria" w:cs="Times New Roman"/>
                <w:sz w:val="20"/>
                <w:szCs w:val="20"/>
              </w:rPr>
              <w:t>:</w:t>
            </w:r>
          </w:p>
          <w:p w14:paraId="34F0322D" w14:textId="2DF13C94" w:rsidR="00996B9F" w:rsidRPr="00E15ED0" w:rsidRDefault="000977F9" w:rsidP="00080CAA">
            <w:pPr>
              <w:spacing w:before="240" w:after="240" w:line="276" w:lineRule="auto"/>
              <w:jc w:val="both"/>
              <w:rPr>
                <w:rFonts w:ascii="Cambria" w:hAnsi="Cambria" w:cs="Times New Roman"/>
                <w:b/>
                <w:color w:val="FF0000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Diseña y emplea diferentes ambientes, herramientas y recursos didácticos para promover en los estudiantes el aprendizaje de contenidos disciplinares. </w:t>
            </w:r>
            <w:r w:rsidR="00080CAA" w:rsidRPr="00E15ED0">
              <w:rPr>
                <w:rFonts w:ascii="Cambria" w:hAnsi="Cambria" w:cs="Times New Roman"/>
                <w:sz w:val="20"/>
                <w:szCs w:val="20"/>
              </w:rPr>
              <w:t xml:space="preserve">Diseña y emplea diferentes ambientes, </w:t>
            </w:r>
            <w:r w:rsidR="00080CAA" w:rsidRPr="00E15ED0">
              <w:rPr>
                <w:rFonts w:ascii="Cambria" w:hAnsi="Cambria" w:cs="Times New Roman"/>
                <w:sz w:val="20"/>
                <w:szCs w:val="20"/>
              </w:rPr>
              <w:lastRenderedPageBreak/>
              <w:t>herramientas y recursos didácticos para promover en los estudiantes el aprendizaje de contenidos disciplinares. 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E15ED0" w14:paraId="34F03230" w14:textId="77777777" w:rsidTr="00FE1ED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2F" w14:textId="77777777" w:rsidR="00813B97" w:rsidRPr="00E15ED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E15ED0" w14:paraId="34F03236" w14:textId="77777777" w:rsidTr="00FE1ED9">
        <w:trPr>
          <w:jc w:val="center"/>
        </w:trPr>
        <w:tc>
          <w:tcPr>
            <w:tcW w:w="5000" w:type="pct"/>
            <w:gridSpan w:val="2"/>
          </w:tcPr>
          <w:p w14:paraId="34F03231" w14:textId="602108B2" w:rsidR="00813B97" w:rsidRPr="00E15ED0" w:rsidRDefault="00813B97" w:rsidP="00D13567">
            <w:pPr>
              <w:spacing w:before="240" w:after="0"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>La unidad de Aprendizaje incide de manera directa en la formación de la competencia genérica institucional:</w:t>
            </w:r>
            <w:r w:rsidR="00C2607E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4258A00B" w14:textId="77777777" w:rsidR="00DB05C5" w:rsidRPr="00E15ED0" w:rsidRDefault="00DB05C5" w:rsidP="00DB05C5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4F45E15E" w14:textId="6D436E0C" w:rsidR="00FE1ED9" w:rsidRPr="00E15ED0" w:rsidRDefault="00FE1ED9" w:rsidP="00FE1ED9">
            <w:pPr>
              <w:spacing w:after="0"/>
              <w:ind w:left="433" w:hanging="433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CG2. </w:t>
            </w:r>
            <w:r w:rsidR="00DB05C5" w:rsidRPr="00E15ED0">
              <w:rPr>
                <w:rFonts w:ascii="Cambria" w:hAnsi="Cambria" w:cs="Times New Roman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  <w:r w:rsidR="00C02977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27AF74BD" w14:textId="4EE1B479" w:rsidR="00FE1ED9" w:rsidRPr="00E15ED0" w:rsidRDefault="00FE1ED9" w:rsidP="00FE1ED9">
            <w:pPr>
              <w:spacing w:after="0"/>
              <w:ind w:left="433" w:hanging="433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CG6. </w:t>
            </w:r>
            <w:r w:rsidR="00DB05C5" w:rsidRPr="00E15ED0">
              <w:rPr>
                <w:rFonts w:ascii="Cambria" w:hAnsi="Cambria" w:cs="Times New Roman"/>
                <w:sz w:val="20"/>
                <w:szCs w:val="20"/>
              </w:rPr>
              <w:t>Reconoce las habilidades y fortalezas de las personas y, en un ambiente de confianza, propicia la colaboración necesaria para lograr el cumplimiento de metas o proyectos.</w:t>
            </w:r>
            <w:r w:rsidR="00C02977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50DB2900" w14:textId="43D5785F" w:rsidR="00FE1ED9" w:rsidRPr="00E15ED0" w:rsidRDefault="00FE1ED9" w:rsidP="00FE1ED9">
            <w:pPr>
              <w:spacing w:after="0"/>
              <w:ind w:left="433" w:hanging="433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CG7. </w:t>
            </w:r>
            <w:r w:rsidR="00DB05C5" w:rsidRPr="00E15ED0">
              <w:rPr>
                <w:rFonts w:ascii="Cambria" w:hAnsi="Cambria" w:cs="Times New Roman"/>
                <w:sz w:val="20"/>
                <w:szCs w:val="20"/>
              </w:rPr>
              <w:t>Se comunica de manera oral y escrita en español para ampliar sus redes académicas, sociales y profesionales.</w:t>
            </w:r>
            <w:r w:rsidR="00C02977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161238D8" w14:textId="10C6560E" w:rsidR="00DB05C5" w:rsidRPr="00E15ED0" w:rsidRDefault="00FE1ED9" w:rsidP="00FE1ED9">
            <w:pPr>
              <w:spacing w:after="0"/>
              <w:ind w:left="433" w:hanging="433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CG8. </w:t>
            </w:r>
            <w:r w:rsidR="00DB05C5" w:rsidRPr="00E15ED0">
              <w:rPr>
                <w:rFonts w:ascii="Cambria" w:hAnsi="Cambria" w:cs="Times New Roman"/>
                <w:sz w:val="20"/>
                <w:szCs w:val="20"/>
              </w:rPr>
              <w:t>Maneja en forma ética y socialmente responsable las tecnologías de la información en sus procesos personales, académicos y profesionales.</w:t>
            </w:r>
          </w:p>
          <w:p w14:paraId="0DAB96C9" w14:textId="77777777" w:rsidR="00DB05C5" w:rsidRPr="00E15ED0" w:rsidRDefault="00DB05C5" w:rsidP="00DB05C5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34F03234" w14:textId="77777777" w:rsidR="00813B97" w:rsidRPr="00E15ED0" w:rsidRDefault="00813B97" w:rsidP="00D13567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>Además, contribuye a la competencia específica del programa:</w:t>
            </w:r>
            <w:r w:rsidR="00552B65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3AECA72B" w14:textId="5F820C2E" w:rsidR="00FE1ED9" w:rsidRPr="00E15ED0" w:rsidRDefault="00FE1ED9" w:rsidP="007A6E89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CE2. </w:t>
            </w:r>
            <w:r w:rsidR="00B20491" w:rsidRPr="00E15ED0">
              <w:rPr>
                <w:rFonts w:ascii="Cambria" w:hAnsi="Cambria" w:cs="Times New Roman"/>
                <w:sz w:val="20"/>
                <w:szCs w:val="20"/>
              </w:rPr>
              <w:t>Diseña y operacionaliza estrategias de enseñanza y aprendizaje según contextos.</w:t>
            </w:r>
            <w:r w:rsidR="00FB015A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63D86478" w14:textId="1B1A3D2B" w:rsidR="00FE1ED9" w:rsidRPr="00E15ED0" w:rsidRDefault="00FE1ED9" w:rsidP="007A6E89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CE5. </w:t>
            </w:r>
            <w:r w:rsidR="00B20491" w:rsidRPr="00E15ED0">
              <w:rPr>
                <w:rFonts w:ascii="Cambria" w:hAnsi="Cambria" w:cs="Times New Roman"/>
                <w:sz w:val="20"/>
                <w:szCs w:val="20"/>
              </w:rPr>
              <w:t>Diseña, gestiona, implementa y evalúa programas y proyectos educativos.</w:t>
            </w:r>
            <w:r w:rsidR="00FB015A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4EF3931A" w14:textId="58A96925" w:rsidR="00FE1ED9" w:rsidRPr="00E15ED0" w:rsidRDefault="00FE1ED9" w:rsidP="007A6E89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CE6. </w:t>
            </w:r>
            <w:r w:rsidR="00B20491" w:rsidRPr="00E15ED0">
              <w:rPr>
                <w:rFonts w:ascii="Cambria" w:hAnsi="Cambria" w:cs="Times New Roman"/>
                <w:sz w:val="20"/>
                <w:szCs w:val="20"/>
              </w:rPr>
              <w:t>Crea y evalúa ambientes favorables y desafiantes para el aprendizaje.</w:t>
            </w:r>
            <w:r w:rsidR="00FB015A" w:rsidRPr="00E15ED0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</w:p>
          <w:p w14:paraId="3D91462B" w14:textId="76339810" w:rsidR="00996B9F" w:rsidRPr="00E15ED0" w:rsidRDefault="00FE1ED9" w:rsidP="007A6E89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CE12. </w:t>
            </w:r>
            <w:r w:rsidR="00B20491" w:rsidRPr="00E15ED0">
              <w:rPr>
                <w:rFonts w:ascii="Cambria" w:hAnsi="Cambria" w:cs="Times New Roman"/>
                <w:sz w:val="20"/>
                <w:szCs w:val="20"/>
              </w:rPr>
              <w:t>Genera Innovaciones en distintos ámbitos del sistema educativo.</w:t>
            </w:r>
          </w:p>
          <w:p w14:paraId="34F03235" w14:textId="54AAF54C" w:rsidR="00925194" w:rsidRPr="00E15ED0" w:rsidRDefault="00925194" w:rsidP="007A6E89">
            <w:pPr>
              <w:spacing w:after="0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13B97" w:rsidRPr="00E15ED0" w14:paraId="34F03238" w14:textId="77777777" w:rsidTr="00FE1ED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37" w14:textId="77777777" w:rsidR="00813B97" w:rsidRPr="00E15ED0" w:rsidRDefault="00813B97" w:rsidP="00B06900">
            <w:pPr>
              <w:spacing w:after="0" w:line="360" w:lineRule="auto"/>
              <w:jc w:val="center"/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CONTEXTUA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E15ED0" w14:paraId="34F0323D" w14:textId="77777777" w:rsidTr="00FE1ED9">
        <w:trPr>
          <w:jc w:val="center"/>
        </w:trPr>
        <w:tc>
          <w:tcPr>
            <w:tcW w:w="5000" w:type="pct"/>
            <w:gridSpan w:val="2"/>
          </w:tcPr>
          <w:p w14:paraId="34F03239" w14:textId="0A6E5DA2" w:rsidR="00813B97" w:rsidRPr="00E15ED0" w:rsidRDefault="00813B97" w:rsidP="00521B74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>La importancia de esta unidad de aprendizaje reside en</w:t>
            </w:r>
            <w:r w:rsidR="00552B65" w:rsidRPr="00E15ED0">
              <w:rPr>
                <w:rFonts w:ascii="Cambria" w:hAnsi="Cambria" w:cs="Times New Roman"/>
                <w:sz w:val="20"/>
                <w:szCs w:val="20"/>
              </w:rPr>
              <w:t xml:space="preserve"> su </w:t>
            </w:r>
            <w:r w:rsidR="00F2526D" w:rsidRPr="00E15ED0">
              <w:rPr>
                <w:rFonts w:ascii="Cambria" w:hAnsi="Cambria" w:cs="Times New Roman"/>
                <w:sz w:val="20"/>
                <w:szCs w:val="20"/>
              </w:rPr>
              <w:t>impacto social, pues se estudian problemáticas de ámbitos locales, regionales y globales cuya solución incide en la mejora de la calidad de vida de las personas beneficiadas por proyectos de educación no formal, que van desde la educación básica para niños y adultos hasta la capacitación para el trabajo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 xml:space="preserve"> y a lo largo de toda la vida.</w:t>
            </w:r>
          </w:p>
          <w:p w14:paraId="34F0323A" w14:textId="0C774EA8" w:rsidR="004C1D3B" w:rsidRPr="00E15ED0" w:rsidRDefault="00813B97" w:rsidP="00521B74">
            <w:pPr>
              <w:spacing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Esta unidad de aprendizaje se caracteriza 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 xml:space="preserve">por proporcionar al estudiante </w:t>
            </w:r>
            <w:r w:rsidR="004C1D3B" w:rsidRPr="00E15ED0">
              <w:rPr>
                <w:rFonts w:ascii="Cambria" w:hAnsi="Cambria" w:cs="Times New Roman"/>
                <w:sz w:val="20"/>
                <w:szCs w:val="20"/>
              </w:rPr>
              <w:t xml:space="preserve">los fundamentos teóricos y metodológicos para </w:t>
            </w:r>
            <w:r w:rsidR="000707A3" w:rsidRPr="00E15ED0">
              <w:rPr>
                <w:rFonts w:ascii="Cambria" w:hAnsi="Cambria" w:cs="Times New Roman"/>
                <w:sz w:val="20"/>
                <w:szCs w:val="20"/>
              </w:rPr>
              <w:t xml:space="preserve">el desarrollo de 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>proyectos de educación no formal</w:t>
            </w:r>
            <w:r w:rsidR="000707A3" w:rsidRPr="00E15ED0">
              <w:rPr>
                <w:rFonts w:ascii="Cambria" w:hAnsi="Cambria" w:cs="Times New Roman"/>
                <w:sz w:val="20"/>
                <w:szCs w:val="20"/>
              </w:rPr>
              <w:t xml:space="preserve">, 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>el análisis de problemáticas d</w:t>
            </w:r>
            <w:r w:rsidR="006A7C3E" w:rsidRPr="00E15ED0">
              <w:rPr>
                <w:rFonts w:ascii="Cambria" w:hAnsi="Cambria" w:cs="Times New Roman"/>
                <w:sz w:val="20"/>
                <w:szCs w:val="20"/>
              </w:rPr>
              <w:t>e ins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>tituciones educativas</w:t>
            </w:r>
            <w:r w:rsidR="006A7C3E" w:rsidRPr="00E15ED0">
              <w:rPr>
                <w:rFonts w:ascii="Cambria" w:hAnsi="Cambria" w:cs="Times New Roman"/>
                <w:sz w:val="20"/>
                <w:szCs w:val="20"/>
              </w:rPr>
              <w:t xml:space="preserve"> con programas educativos formales, así como la integración de aspectos de la educación informal en los procesos educativos de proyectos no formales y programas de educación formales.</w:t>
            </w:r>
          </w:p>
          <w:p w14:paraId="34F0323C" w14:textId="7793E280" w:rsidR="00996B9F" w:rsidRPr="00E15ED0" w:rsidRDefault="00FF2949" w:rsidP="00521B74">
            <w:pPr>
              <w:spacing w:line="240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Se imparte en el </w:t>
            </w:r>
            <w:r w:rsidR="006A7C3E" w:rsidRPr="00E15ED0">
              <w:rPr>
                <w:rFonts w:ascii="Cambria" w:hAnsi="Cambria" w:cs="Times New Roman"/>
                <w:sz w:val="20"/>
                <w:szCs w:val="20"/>
              </w:rPr>
              <w:t>6</w:t>
            </w: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° </w:t>
            </w:r>
            <w:r w:rsidR="00813B97" w:rsidRPr="00E15ED0">
              <w:rPr>
                <w:rFonts w:ascii="Cambria" w:hAnsi="Cambria" w:cs="Times New Roman"/>
                <w:sz w:val="20"/>
                <w:szCs w:val="20"/>
              </w:rPr>
              <w:t xml:space="preserve">semestre y se relaciona </w:t>
            </w: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de manera directa </w:t>
            </w:r>
            <w:r w:rsidR="00813B97" w:rsidRPr="00E15ED0">
              <w:rPr>
                <w:rFonts w:ascii="Cambria" w:hAnsi="Cambria" w:cs="Times New Roman"/>
                <w:sz w:val="20"/>
                <w:szCs w:val="20"/>
              </w:rPr>
              <w:t xml:space="preserve">con </w:t>
            </w:r>
            <w:r w:rsidR="00BE2B8B" w:rsidRPr="00E15ED0">
              <w:rPr>
                <w:rFonts w:ascii="Cambria" w:hAnsi="Cambria" w:cs="Times New Roman"/>
                <w:sz w:val="20"/>
                <w:szCs w:val="20"/>
              </w:rPr>
              <w:t>las unidades de aprendizaje</w:t>
            </w:r>
            <w:r w:rsidRPr="00E15ED0">
              <w:rPr>
                <w:rFonts w:ascii="Cambria" w:hAnsi="Cambria" w:cs="Times New Roman"/>
                <w:sz w:val="20"/>
                <w:szCs w:val="20"/>
              </w:rPr>
              <w:t xml:space="preserve"> siguientes: Innovación Educativa, </w:t>
            </w:r>
            <w:r w:rsidR="00E7777E" w:rsidRPr="00E15ED0">
              <w:rPr>
                <w:rFonts w:ascii="Cambria" w:hAnsi="Cambria" w:cs="Times New Roman"/>
                <w:sz w:val="20"/>
                <w:szCs w:val="20"/>
              </w:rPr>
              <w:t xml:space="preserve">Gestión y Política Educativa, </w:t>
            </w:r>
            <w:r w:rsidR="006A7C3E" w:rsidRPr="00E15ED0">
              <w:rPr>
                <w:rFonts w:ascii="Cambria" w:hAnsi="Cambria" w:cs="Times New Roman"/>
                <w:sz w:val="20"/>
                <w:szCs w:val="20"/>
              </w:rPr>
              <w:t xml:space="preserve">Administración Educativa, Sistema Educativo Nacional, </w:t>
            </w:r>
            <w:r w:rsidR="00E7777E" w:rsidRPr="00E15ED0">
              <w:rPr>
                <w:rFonts w:ascii="Cambria" w:hAnsi="Cambria" w:cs="Times New Roman"/>
                <w:sz w:val="20"/>
                <w:szCs w:val="20"/>
              </w:rPr>
              <w:t xml:space="preserve">Educación a Distancia, 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 xml:space="preserve">Tecnología Educativa, </w:t>
            </w:r>
            <w:r w:rsidR="00FB5E85" w:rsidRPr="00E15ED0">
              <w:rPr>
                <w:rFonts w:ascii="Cambria" w:hAnsi="Cambria" w:cs="Times New Roman"/>
                <w:sz w:val="20"/>
                <w:szCs w:val="20"/>
              </w:rPr>
              <w:t xml:space="preserve">las UDA de Didáctica, </w:t>
            </w:r>
            <w:r w:rsidR="00E7777E" w:rsidRPr="00E15ED0">
              <w:rPr>
                <w:rFonts w:ascii="Cambria" w:hAnsi="Cambria" w:cs="Times New Roman"/>
                <w:sz w:val="20"/>
                <w:szCs w:val="20"/>
              </w:rPr>
              <w:t>(Teoría y Práctica de la) Comunicación Educativa</w:t>
            </w:r>
            <w:r w:rsidR="006015A9" w:rsidRPr="00E15ED0">
              <w:rPr>
                <w:rFonts w:ascii="Cambria" w:hAnsi="Cambria" w:cs="Times New Roman"/>
                <w:sz w:val="20"/>
                <w:szCs w:val="20"/>
              </w:rPr>
              <w:t>, Ética</w:t>
            </w:r>
            <w:r w:rsidR="00BE2B8B" w:rsidRPr="00E15ED0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</w:tr>
      <w:tr w:rsidR="00813B97" w:rsidRPr="00E15ED0" w14:paraId="34F0323F" w14:textId="77777777" w:rsidTr="00FE1ED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34F0323E" w14:textId="77777777" w:rsidR="00813B97" w:rsidRPr="00E15ED0" w:rsidRDefault="00813B97" w:rsidP="00B06900">
            <w:pPr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E15ED0" w14:paraId="34F03241" w14:textId="77777777" w:rsidTr="00FE1ED9">
        <w:trPr>
          <w:jc w:val="center"/>
        </w:trPr>
        <w:tc>
          <w:tcPr>
            <w:tcW w:w="5000" w:type="pct"/>
            <w:gridSpan w:val="2"/>
            <w:vAlign w:val="center"/>
          </w:tcPr>
          <w:p w14:paraId="34F03240" w14:textId="29ED714A" w:rsidR="0065134A" w:rsidRPr="00E15ED0" w:rsidRDefault="00D47F99" w:rsidP="00334E82">
            <w:pPr>
              <w:spacing w:before="240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Toma de decisiones institucionales en el campo de la educación, formación, orientación y asistencia a grupos sociales vulnerables.</w:t>
            </w:r>
            <w:r w:rsidR="00EA722C" w:rsidRPr="00E15ED0">
              <w:rPr>
                <w:rFonts w:ascii="Cambria" w:hAnsi="Cambria"/>
                <w:sz w:val="20"/>
                <w:szCs w:val="20"/>
              </w:rPr>
              <w:t xml:space="preserve"> Diseñar proyectos de educación no formal para resolver problemáticas sociales. Conocer el marco legal que sustenta las modalidades formales y no formales del sistema educativo nacional mexicano.</w:t>
            </w:r>
          </w:p>
        </w:tc>
      </w:tr>
      <w:tr w:rsidR="00813B97" w:rsidRPr="00E15ED0" w14:paraId="34F03243" w14:textId="77777777" w:rsidTr="00FE1ED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34F03242" w14:textId="77777777" w:rsidR="00813B97" w:rsidRPr="00E15ED0" w:rsidRDefault="00813B97" w:rsidP="00B06900">
            <w:pPr>
              <w:spacing w:after="0" w:line="36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E15ED0" w14:paraId="34F03249" w14:textId="77777777" w:rsidTr="00FE1ED9">
        <w:trPr>
          <w:jc w:val="center"/>
        </w:trPr>
        <w:tc>
          <w:tcPr>
            <w:tcW w:w="5000" w:type="pct"/>
            <w:gridSpan w:val="2"/>
            <w:vAlign w:val="center"/>
          </w:tcPr>
          <w:p w14:paraId="72D27C5C" w14:textId="2A03C88C" w:rsidR="00DB0763" w:rsidRPr="00E15ED0" w:rsidRDefault="00DB0763" w:rsidP="00334E82">
            <w:pPr>
              <w:numPr>
                <w:ilvl w:val="0"/>
                <w:numId w:val="4"/>
              </w:numPr>
              <w:spacing w:before="240" w:after="0" w:line="240" w:lineRule="auto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Educación formal y no formal: características y traducción real.</w:t>
            </w:r>
          </w:p>
          <w:p w14:paraId="0FF9CA9D" w14:textId="721B7F66" w:rsidR="00DB0763" w:rsidRPr="00E15ED0" w:rsidRDefault="00DB0763" w:rsidP="00DB0763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Antecedentes y desarrollo de la educación no formal: políticas y ejemplos concretos.</w:t>
            </w:r>
          </w:p>
          <w:p w14:paraId="7CDE9FCE" w14:textId="77777777" w:rsidR="00DB0763" w:rsidRPr="00E15ED0" w:rsidRDefault="00DB0763" w:rsidP="00DB0763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Alternativas para la educación formal y no formal.</w:t>
            </w:r>
          </w:p>
          <w:p w14:paraId="03A59993" w14:textId="575C1E7E" w:rsidR="00DB0763" w:rsidRPr="00E15ED0" w:rsidRDefault="00DB0763" w:rsidP="00DB0763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Innovaciones en la educación formal y no formal.</w:t>
            </w:r>
          </w:p>
          <w:p w14:paraId="03015A13" w14:textId="4ED95E3E" w:rsidR="00DB0763" w:rsidRPr="00E15ED0" w:rsidRDefault="00DB0763" w:rsidP="00DB0763">
            <w:pPr>
              <w:numPr>
                <w:ilvl w:val="0"/>
                <w:numId w:val="4"/>
              </w:num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15ED0">
              <w:rPr>
                <w:rFonts w:ascii="Cambria" w:hAnsi="Cambria"/>
                <w:sz w:val="20"/>
                <w:szCs w:val="20"/>
              </w:rPr>
              <w:t>Uso de modalidades no convencionales en la educación no formal</w:t>
            </w:r>
          </w:p>
          <w:p w14:paraId="34F03248" w14:textId="7EC9A196" w:rsidR="006401CC" w:rsidRPr="00E15ED0" w:rsidRDefault="006401CC" w:rsidP="006A14AC">
            <w:pPr>
              <w:spacing w:after="0" w:line="240" w:lineRule="auto"/>
              <w:rPr>
                <w:rFonts w:ascii="Cambria" w:eastAsia="Times New Roman" w:hAnsi="Cambria" w:cs="Arial"/>
                <w:b/>
                <w:color w:val="C45911" w:themeColor="accent2" w:themeShade="BF"/>
                <w:sz w:val="20"/>
                <w:szCs w:val="20"/>
              </w:rPr>
            </w:pPr>
          </w:p>
        </w:tc>
      </w:tr>
      <w:tr w:rsidR="00813B97" w:rsidRPr="00E15ED0" w14:paraId="34F0324C" w14:textId="77777777" w:rsidTr="00FE1ED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34F0324A" w14:textId="77777777" w:rsidR="00813B97" w:rsidRPr="00E15ED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34F0324B" w14:textId="77777777" w:rsidR="00813B97" w:rsidRPr="00E15ED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E15ED0" w14:paraId="34F03250" w14:textId="77777777" w:rsidTr="00FE1ED9">
        <w:trPr>
          <w:jc w:val="center"/>
        </w:trPr>
        <w:tc>
          <w:tcPr>
            <w:tcW w:w="2552" w:type="pct"/>
            <w:vAlign w:val="center"/>
          </w:tcPr>
          <w:p w14:paraId="0B960C9D" w14:textId="77777777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5339C53" w14:textId="7C4F5C54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Sesiones grupales y presenciales: propiciar el análisis, la discusión y el intercambio de ideas.</w:t>
            </w:r>
          </w:p>
          <w:p w14:paraId="1800DE51" w14:textId="77777777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745D8BCF" w14:textId="77777777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Experiencias vivenciales: introducir a los estudiantes en las realidades y contextos concretos</w:t>
            </w:r>
          </w:p>
          <w:p w14:paraId="43C981DB" w14:textId="77777777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24877990" w14:textId="77777777" w:rsidR="00D47F99" w:rsidRPr="00E15ED0" w:rsidRDefault="00D47F99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Producciones concretas: diseñar propuestas de educación no formal aplicables en realidades concretas.</w:t>
            </w:r>
          </w:p>
          <w:p w14:paraId="34F0324E" w14:textId="77777777" w:rsidR="00F70EF4" w:rsidRPr="00E15ED0" w:rsidRDefault="00886268" w:rsidP="00886268">
            <w:pPr>
              <w:spacing w:after="0" w:line="240" w:lineRule="auto"/>
              <w:rPr>
                <w:rFonts w:ascii="Cambria" w:eastAsia="Times New Roman" w:hAnsi="Cambria" w:cs="Arial"/>
                <w:b/>
                <w:color w:val="C45911" w:themeColor="accent2" w:themeShade="BF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b/>
                <w:color w:val="C45911" w:themeColor="accent2" w:themeShade="BF"/>
                <w:sz w:val="20"/>
                <w:szCs w:val="20"/>
              </w:rPr>
              <w:t xml:space="preserve"> </w:t>
            </w:r>
          </w:p>
        </w:tc>
        <w:tc>
          <w:tcPr>
            <w:tcW w:w="2448" w:type="pct"/>
            <w:vAlign w:val="center"/>
          </w:tcPr>
          <w:p w14:paraId="34F0324F" w14:textId="5243B8DB" w:rsidR="005E3354" w:rsidRPr="00E15ED0" w:rsidRDefault="005E3354" w:rsidP="005E3354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 xml:space="preserve">Equipo de cómputo con capacidad multimedia, conexión a Internet, cañón de proyección o pantalla, </w:t>
            </w:r>
            <w:r w:rsidR="00D47F99" w:rsidRPr="00E15ED0">
              <w:rPr>
                <w:rFonts w:ascii="Cambria" w:eastAsia="Times New Roman" w:hAnsi="Cambria" w:cs="Arial"/>
                <w:sz w:val="20"/>
                <w:szCs w:val="20"/>
              </w:rPr>
              <w:t>bibliografía especializada en teoría y legislación educativas.</w:t>
            </w:r>
          </w:p>
        </w:tc>
      </w:tr>
      <w:tr w:rsidR="00813B97" w:rsidRPr="00E15ED0" w14:paraId="34F03253" w14:textId="77777777" w:rsidTr="00FE1ED9">
        <w:trPr>
          <w:jc w:val="center"/>
        </w:trPr>
        <w:tc>
          <w:tcPr>
            <w:tcW w:w="2552" w:type="pct"/>
            <w:shd w:val="clear" w:color="auto" w:fill="5B9BD5" w:themeFill="accent5"/>
            <w:vAlign w:val="center"/>
          </w:tcPr>
          <w:p w14:paraId="34F03251" w14:textId="77777777" w:rsidR="00813B97" w:rsidRPr="00E15ED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8" w:type="pct"/>
            <w:shd w:val="clear" w:color="auto" w:fill="5B9BD5" w:themeFill="accent5"/>
            <w:vAlign w:val="center"/>
          </w:tcPr>
          <w:p w14:paraId="34F03252" w14:textId="77777777" w:rsidR="00813B97" w:rsidRPr="00E15ED0" w:rsidRDefault="006D46E9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E15ED0" w14:paraId="34F03258" w14:textId="77777777" w:rsidTr="00FE1ED9">
        <w:trPr>
          <w:jc w:val="center"/>
        </w:trPr>
        <w:tc>
          <w:tcPr>
            <w:tcW w:w="2552" w:type="pct"/>
          </w:tcPr>
          <w:p w14:paraId="65D9F8A1" w14:textId="66304752" w:rsidR="006401CC" w:rsidRPr="00E15ED0" w:rsidRDefault="006401CC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54" w14:textId="56C9E470" w:rsidR="00493DFF" w:rsidRPr="00E15ED0" w:rsidRDefault="00521B74" w:rsidP="00D47F99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Análisis de la fundamentación teórica de la educación formal y no formal. Establecimiento de los alcances y limitaciones de la educación formal y no formal. Discusión en torno a la posibilidad de instrumentación de programas de educación no formal en contextos concretos. Diseño y aplicación de alguna propuesta de educación no formal.</w:t>
            </w:r>
          </w:p>
        </w:tc>
        <w:tc>
          <w:tcPr>
            <w:tcW w:w="2448" w:type="pct"/>
          </w:tcPr>
          <w:p w14:paraId="126960AA" w14:textId="77777777" w:rsidR="00D544B6" w:rsidRPr="00E15ED0" w:rsidRDefault="00D544B6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55" w14:textId="3880213B" w:rsidR="00FB5E85" w:rsidRPr="00E15ED0" w:rsidRDefault="00FB5E85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Evaluación formativa: auto, co y heteroev</w:t>
            </w:r>
            <w:r w:rsidR="00AF191F" w:rsidRPr="00E15ED0">
              <w:rPr>
                <w:rFonts w:ascii="Cambria" w:eastAsia="Times New Roman" w:hAnsi="Cambria" w:cs="Arial"/>
                <w:sz w:val="20"/>
                <w:szCs w:val="20"/>
              </w:rPr>
              <w:t>a</w:t>
            </w: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luación</w:t>
            </w:r>
            <w:r w:rsidR="00925194" w:rsidRPr="00E15ED0">
              <w:rPr>
                <w:rFonts w:ascii="Cambria" w:eastAsia="Times New Roman" w:hAnsi="Cambria" w:cs="Arial"/>
                <w:sz w:val="20"/>
                <w:szCs w:val="20"/>
              </w:rPr>
              <w:t xml:space="preserve"> (Evaluación diagnóstica, continua y sumativa)</w:t>
            </w: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</w:p>
          <w:p w14:paraId="1737C0D4" w14:textId="77777777" w:rsidR="00AF191F" w:rsidRPr="00E15ED0" w:rsidRDefault="00AF191F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4F03256" w14:textId="68BF8AAB" w:rsidR="00FB5E85" w:rsidRPr="00E15ED0" w:rsidRDefault="00D544B6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Rúbricas de evaluación consensadas.</w:t>
            </w:r>
          </w:p>
          <w:p w14:paraId="34F03257" w14:textId="10EE5CEC" w:rsidR="00813B97" w:rsidRPr="00E15ED0" w:rsidRDefault="00813B97" w:rsidP="00BB381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62"/>
      </w:tblGrid>
      <w:tr w:rsidR="00813B97" w:rsidRPr="00E15ED0" w14:paraId="34F0325A" w14:textId="77777777" w:rsidTr="00D13567">
        <w:tc>
          <w:tcPr>
            <w:tcW w:w="5000" w:type="pct"/>
            <w:gridSpan w:val="2"/>
            <w:shd w:val="clear" w:color="auto" w:fill="5B9BD5" w:themeFill="accent5"/>
          </w:tcPr>
          <w:p w14:paraId="34F03259" w14:textId="77777777" w:rsidR="00813B97" w:rsidRPr="00E15ED0" w:rsidRDefault="00813B97" w:rsidP="00D13567">
            <w:pPr>
              <w:spacing w:after="0" w:line="36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E15ED0" w14:paraId="34F0325D" w14:textId="77777777" w:rsidTr="00E15ED0">
        <w:tc>
          <w:tcPr>
            <w:tcW w:w="2495" w:type="pct"/>
            <w:shd w:val="clear" w:color="auto" w:fill="5B9BD5" w:themeFill="accent5"/>
          </w:tcPr>
          <w:p w14:paraId="34F0325B" w14:textId="77777777" w:rsidR="00813B97" w:rsidRPr="00E15ED0" w:rsidRDefault="00996B9F" w:rsidP="00996B9F">
            <w:pPr>
              <w:spacing w:after="0" w:line="36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505" w:type="pct"/>
            <w:shd w:val="clear" w:color="auto" w:fill="5B9BD5" w:themeFill="accent5"/>
            <w:vAlign w:val="center"/>
          </w:tcPr>
          <w:p w14:paraId="34F0325C" w14:textId="77777777" w:rsidR="00813B97" w:rsidRPr="00E15ED0" w:rsidRDefault="00996B9F" w:rsidP="00996B9F">
            <w:pPr>
              <w:spacing w:after="0" w:line="360" w:lineRule="auto"/>
              <w:jc w:val="center"/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15ED0" w14:paraId="34F03262" w14:textId="77777777" w:rsidTr="00E15ED0">
        <w:tc>
          <w:tcPr>
            <w:tcW w:w="2495" w:type="pct"/>
          </w:tcPr>
          <w:p w14:paraId="73CD4371" w14:textId="77777777" w:rsidR="00AF191F" w:rsidRPr="00E15ED0" w:rsidRDefault="00493DFF" w:rsidP="00D544B6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 xml:space="preserve">Centro de Estudios para el Desarrollo Rural. (1998). Educación para el medio rural. Una propuesta pedagógica. Ediciones Castillo, S.A. de C.V. </w:t>
            </w:r>
          </w:p>
          <w:p w14:paraId="11B70716" w14:textId="77777777" w:rsidR="006A14AC" w:rsidRPr="00E15ED0" w:rsidRDefault="006A14AC" w:rsidP="00D544B6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270F8AC1" w14:textId="28DA96AC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Alcántara Santuario, Armando et al (coord.) Educación, democracia y desarrollo en el fin de siglo. Siglo XXI Editores. México, 1998.</w:t>
            </w:r>
          </w:p>
          <w:p w14:paraId="1A4ACB08" w14:textId="7777777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0006C41C" w14:textId="089929D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proofErr w:type="spellStart"/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Pain</w:t>
            </w:r>
            <w:proofErr w:type="spellEnd"/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, Abraham. Educación informal. El potencial educativo de las situaciones cotidianas. Ed. Nueva Visión. Argentina, 1998.</w:t>
            </w:r>
          </w:p>
          <w:p w14:paraId="1E9E0711" w14:textId="7777777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0D3BE26F" w14:textId="7777777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Torres, Carlos Alberto. La política de la educación no formal en América Latina. Ed. Siglo XXI. México, 1985.</w:t>
            </w:r>
          </w:p>
          <w:p w14:paraId="075B5CA2" w14:textId="7777777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386BA57" w14:textId="4C77D799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Lozano Rodríguez, Armando. 2010. Tecnología</w:t>
            </w:r>
          </w:p>
          <w:p w14:paraId="34F0325E" w14:textId="553B9897" w:rsidR="006A14AC" w:rsidRPr="00E15ED0" w:rsidRDefault="006A14AC" w:rsidP="006A14AC">
            <w:pPr>
              <w:spacing w:after="0" w:line="240" w:lineRule="auto"/>
              <w:contextualSpacing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educativa en un modelo de educación a distancia centrado en la persona. (374.4 TEC)</w:t>
            </w:r>
          </w:p>
        </w:tc>
        <w:tc>
          <w:tcPr>
            <w:tcW w:w="2505" w:type="pct"/>
          </w:tcPr>
          <w:p w14:paraId="34F0325F" w14:textId="77777777" w:rsidR="002E03B8" w:rsidRPr="00E15ED0" w:rsidRDefault="00886268" w:rsidP="00886268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Bases de datos electrónicas:</w:t>
            </w:r>
          </w:p>
          <w:p w14:paraId="34F03260" w14:textId="77777777" w:rsidR="00886268" w:rsidRPr="00E15ED0" w:rsidRDefault="00EB1CDC" w:rsidP="00886268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hyperlink r:id="rId8" w:history="1">
              <w:r w:rsidR="00886268" w:rsidRPr="00E15ED0">
                <w:rPr>
                  <w:rStyle w:val="Hipervnculo"/>
                  <w:rFonts w:ascii="Cambria" w:eastAsia="Times New Roman" w:hAnsi="Cambria" w:cs="Arial"/>
                  <w:sz w:val="20"/>
                  <w:szCs w:val="20"/>
                </w:rPr>
                <w:t>www.redalyc.org</w:t>
              </w:r>
            </w:hyperlink>
          </w:p>
          <w:p w14:paraId="6D736589" w14:textId="48A0B453" w:rsidR="00886268" w:rsidRPr="00E15ED0" w:rsidRDefault="00EB1CDC" w:rsidP="00886268">
            <w:pPr>
              <w:spacing w:after="0" w:line="240" w:lineRule="auto"/>
              <w:contextualSpacing/>
              <w:jc w:val="both"/>
              <w:rPr>
                <w:rStyle w:val="Hipervnculo"/>
                <w:rFonts w:ascii="Cambria" w:eastAsia="Times New Roman" w:hAnsi="Cambria" w:cs="Arial"/>
                <w:sz w:val="20"/>
                <w:szCs w:val="20"/>
              </w:rPr>
            </w:pPr>
            <w:hyperlink r:id="rId9" w:history="1">
              <w:r w:rsidR="00D544B6" w:rsidRPr="00E15ED0">
                <w:rPr>
                  <w:rStyle w:val="Hipervnculo"/>
                  <w:rFonts w:ascii="Cambria" w:eastAsia="Times New Roman" w:hAnsi="Cambria" w:cs="Arial"/>
                  <w:sz w:val="20"/>
                  <w:szCs w:val="20"/>
                </w:rPr>
                <w:t>www.bibliotecas.ugto.mx</w:t>
              </w:r>
            </w:hyperlink>
          </w:p>
          <w:p w14:paraId="5832B8BE" w14:textId="391AD76C" w:rsidR="00392BF6" w:rsidRPr="00E15ED0" w:rsidRDefault="00392BF6" w:rsidP="00886268">
            <w:pPr>
              <w:spacing w:after="0" w:line="240" w:lineRule="auto"/>
              <w:contextualSpacing/>
              <w:jc w:val="both"/>
              <w:rPr>
                <w:rStyle w:val="Hipervnculo"/>
                <w:rFonts w:ascii="Cambria" w:hAnsi="Cambria"/>
                <w:sz w:val="20"/>
                <w:szCs w:val="20"/>
              </w:rPr>
            </w:pPr>
          </w:p>
          <w:p w14:paraId="170F7A8D" w14:textId="281E7D9D" w:rsidR="00392BF6" w:rsidRPr="00E15ED0" w:rsidRDefault="00D56B07" w:rsidP="00886268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Style w:val="Hipervnculo"/>
                <w:rFonts w:ascii="Cambria" w:hAnsi="Cambria"/>
                <w:color w:val="auto"/>
                <w:sz w:val="20"/>
                <w:szCs w:val="20"/>
                <w:u w:val="none"/>
              </w:rPr>
              <w:t xml:space="preserve">SEP. </w:t>
            </w:r>
            <w:hyperlink r:id="rId10" w:history="1">
              <w:r w:rsidRPr="00E15ED0">
                <w:rPr>
                  <w:rStyle w:val="Hipervnculo"/>
                  <w:rFonts w:ascii="Cambria" w:eastAsia="Times New Roman" w:hAnsi="Cambria" w:cs="Arial"/>
                  <w:sz w:val="20"/>
                  <w:szCs w:val="20"/>
                </w:rPr>
                <w:t>La Estructura del Sistema Educativo Mexicano</w:t>
              </w:r>
            </w:hyperlink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</w:p>
          <w:p w14:paraId="34C5C12F" w14:textId="2190F70D" w:rsidR="00D56B07" w:rsidRPr="00E15ED0" w:rsidRDefault="00D56B07" w:rsidP="00886268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0FD2A1A8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Ley General de Educación</w:t>
            </w:r>
          </w:p>
          <w:p w14:paraId="1E907543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26EF4CE7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Ley de Fomento para la Lectura y el Libro</w:t>
            </w:r>
          </w:p>
          <w:p w14:paraId="45661149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77B1EF6A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Ley General de Bibliotecas</w:t>
            </w:r>
          </w:p>
          <w:p w14:paraId="003AA3CE" w14:textId="77777777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5162726E" w14:textId="64AAD7B2" w:rsidR="00D56B07" w:rsidRPr="00E15ED0" w:rsidRDefault="00D56B07" w:rsidP="00D56B07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15ED0">
              <w:rPr>
                <w:rFonts w:ascii="Cambria" w:eastAsia="Times New Roman" w:hAnsi="Cambria" w:cs="Arial"/>
                <w:sz w:val="20"/>
                <w:szCs w:val="20"/>
              </w:rPr>
              <w:t>Ley para la Coordinación de la Educación Superior</w:t>
            </w:r>
          </w:p>
          <w:p w14:paraId="1C99580D" w14:textId="77777777" w:rsidR="00D544B6" w:rsidRPr="00E15ED0" w:rsidRDefault="00D544B6" w:rsidP="00886268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</w:p>
          <w:p w14:paraId="1B849DE5" w14:textId="77777777" w:rsidR="00361D69" w:rsidRPr="00E15ED0" w:rsidRDefault="00361D69" w:rsidP="00361D69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</w:p>
          <w:p w14:paraId="34F03261" w14:textId="2327FB74" w:rsidR="00D544B6" w:rsidRPr="00E15ED0" w:rsidRDefault="00D544B6" w:rsidP="00D544B6">
            <w:pPr>
              <w:spacing w:after="0" w:line="240" w:lineRule="auto"/>
              <w:contextualSpacing/>
              <w:jc w:val="both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</w:p>
        </w:tc>
      </w:tr>
    </w:tbl>
    <w:p w14:paraId="34F03265" w14:textId="77777777" w:rsidR="00813B97" w:rsidRPr="00E15ED0" w:rsidRDefault="00813B97">
      <w:pPr>
        <w:rPr>
          <w:rFonts w:ascii="Cambria" w:hAnsi="Cambria"/>
          <w:sz w:val="20"/>
          <w:szCs w:val="20"/>
        </w:rPr>
      </w:pPr>
    </w:p>
    <w:sectPr w:rsidR="00813B97" w:rsidRPr="00E15ED0" w:rsidSect="00BF0965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F611C" w14:textId="77777777" w:rsidR="00EB1CDC" w:rsidRDefault="00EB1CDC" w:rsidP="00FE1ED9">
      <w:pPr>
        <w:spacing w:after="0" w:line="240" w:lineRule="auto"/>
      </w:pPr>
      <w:r>
        <w:separator/>
      </w:r>
    </w:p>
  </w:endnote>
  <w:endnote w:type="continuationSeparator" w:id="0">
    <w:p w14:paraId="6D0AF968" w14:textId="77777777" w:rsidR="00EB1CDC" w:rsidRDefault="00EB1CDC" w:rsidP="00FE1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F085C" w14:textId="77777777" w:rsidR="00EB1CDC" w:rsidRDefault="00EB1CDC" w:rsidP="00FE1ED9">
      <w:pPr>
        <w:spacing w:after="0" w:line="240" w:lineRule="auto"/>
      </w:pPr>
      <w:r>
        <w:separator/>
      </w:r>
    </w:p>
  </w:footnote>
  <w:footnote w:type="continuationSeparator" w:id="0">
    <w:p w14:paraId="7F4C7920" w14:textId="77777777" w:rsidR="00EB1CDC" w:rsidRDefault="00EB1CDC" w:rsidP="00FE1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6"/>
      <w:gridCol w:w="1964"/>
    </w:tblGrid>
    <w:tr w:rsidR="00EA05A5" w:rsidRPr="004B10D1" w14:paraId="196CA041" w14:textId="77777777" w:rsidTr="00476DE0">
      <w:trPr>
        <w:trHeight w:val="600"/>
      </w:trPr>
      <w:tc>
        <w:tcPr>
          <w:tcW w:w="9968" w:type="dxa"/>
          <w:vAlign w:val="center"/>
        </w:tcPr>
        <w:p w14:paraId="4FFD340A" w14:textId="669A90C9" w:rsidR="00EA05A5" w:rsidRPr="0090363F" w:rsidRDefault="00EA05A5" w:rsidP="00EA05A5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>Programa de estudio: Educación formal y no formal</w:t>
          </w:r>
        </w:p>
      </w:tc>
      <w:tc>
        <w:tcPr>
          <w:tcW w:w="2786" w:type="dxa"/>
        </w:tcPr>
        <w:p w14:paraId="3FC23B60" w14:textId="77777777" w:rsidR="00EA05A5" w:rsidRPr="004B10D1" w:rsidRDefault="00EA05A5" w:rsidP="00EA05A5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74C90F0" wp14:editId="4F613149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DA2FDDE" w14:textId="74D2A47D" w:rsidR="00FE1ED9" w:rsidRDefault="00FE1E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46B6"/>
    <w:multiLevelType w:val="hybridMultilevel"/>
    <w:tmpl w:val="E4DE998E"/>
    <w:lvl w:ilvl="0" w:tplc="4A96BEC2">
      <w:start w:val="1"/>
      <w:numFmt w:val="decimal"/>
      <w:lvlText w:val="%1."/>
      <w:lvlJc w:val="left"/>
      <w:pPr>
        <w:ind w:left="720" w:hanging="360"/>
      </w:pPr>
      <w:rPr>
        <w:rFonts w:ascii="Trebuchet MS" w:eastAsiaTheme="minorHAnsi" w:hAnsi="Trebuchet MS" w:cs="Arial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11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F15502"/>
    <w:multiLevelType w:val="hybridMultilevel"/>
    <w:tmpl w:val="FDEC04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5AF"/>
    <w:multiLevelType w:val="multilevel"/>
    <w:tmpl w:val="E7FC6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C44A4A"/>
    <w:multiLevelType w:val="hybridMultilevel"/>
    <w:tmpl w:val="67F0E4E2"/>
    <w:lvl w:ilvl="0" w:tplc="0C0A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428B5"/>
    <w:rsid w:val="000707A3"/>
    <w:rsid w:val="00080CAA"/>
    <w:rsid w:val="00080DDD"/>
    <w:rsid w:val="000977F9"/>
    <w:rsid w:val="000B0223"/>
    <w:rsid w:val="000D6E47"/>
    <w:rsid w:val="00144C5F"/>
    <w:rsid w:val="00193107"/>
    <w:rsid w:val="001B39A7"/>
    <w:rsid w:val="001C0632"/>
    <w:rsid w:val="001D3E85"/>
    <w:rsid w:val="001E6FA0"/>
    <w:rsid w:val="00263721"/>
    <w:rsid w:val="00265D73"/>
    <w:rsid w:val="002964A7"/>
    <w:rsid w:val="002E03B8"/>
    <w:rsid w:val="003027C7"/>
    <w:rsid w:val="00305E8A"/>
    <w:rsid w:val="003127AE"/>
    <w:rsid w:val="003255CD"/>
    <w:rsid w:val="00334E82"/>
    <w:rsid w:val="00340BB4"/>
    <w:rsid w:val="00361D69"/>
    <w:rsid w:val="00367ACF"/>
    <w:rsid w:val="00392BF6"/>
    <w:rsid w:val="004156E3"/>
    <w:rsid w:val="00481147"/>
    <w:rsid w:val="00485F47"/>
    <w:rsid w:val="00493DFF"/>
    <w:rsid w:val="004A42A2"/>
    <w:rsid w:val="004B0FA1"/>
    <w:rsid w:val="004C1D3B"/>
    <w:rsid w:val="004F07C9"/>
    <w:rsid w:val="004F42C9"/>
    <w:rsid w:val="00521B74"/>
    <w:rsid w:val="00525343"/>
    <w:rsid w:val="00552B65"/>
    <w:rsid w:val="005E3354"/>
    <w:rsid w:val="006015A9"/>
    <w:rsid w:val="006049AD"/>
    <w:rsid w:val="00613676"/>
    <w:rsid w:val="0061497C"/>
    <w:rsid w:val="00635C12"/>
    <w:rsid w:val="006401CC"/>
    <w:rsid w:val="0065134A"/>
    <w:rsid w:val="0066696C"/>
    <w:rsid w:val="00684B2D"/>
    <w:rsid w:val="006A14AC"/>
    <w:rsid w:val="006A7C3E"/>
    <w:rsid w:val="006B274C"/>
    <w:rsid w:val="006D46E9"/>
    <w:rsid w:val="006F7859"/>
    <w:rsid w:val="00723FF6"/>
    <w:rsid w:val="00724A54"/>
    <w:rsid w:val="00727897"/>
    <w:rsid w:val="0074631C"/>
    <w:rsid w:val="0075260C"/>
    <w:rsid w:val="00765399"/>
    <w:rsid w:val="007A6E89"/>
    <w:rsid w:val="007C1CE8"/>
    <w:rsid w:val="007D27D4"/>
    <w:rsid w:val="00813B97"/>
    <w:rsid w:val="008163EB"/>
    <w:rsid w:val="00837950"/>
    <w:rsid w:val="00852C82"/>
    <w:rsid w:val="00886268"/>
    <w:rsid w:val="008A37FB"/>
    <w:rsid w:val="008C3A28"/>
    <w:rsid w:val="008C6000"/>
    <w:rsid w:val="008E2518"/>
    <w:rsid w:val="00925194"/>
    <w:rsid w:val="00933172"/>
    <w:rsid w:val="00954FFB"/>
    <w:rsid w:val="00964FD4"/>
    <w:rsid w:val="009718D1"/>
    <w:rsid w:val="00980719"/>
    <w:rsid w:val="009913BB"/>
    <w:rsid w:val="0099290E"/>
    <w:rsid w:val="00996B9F"/>
    <w:rsid w:val="009B0B9F"/>
    <w:rsid w:val="009B1FA3"/>
    <w:rsid w:val="009C560A"/>
    <w:rsid w:val="009E3A0B"/>
    <w:rsid w:val="009F4646"/>
    <w:rsid w:val="00A23E05"/>
    <w:rsid w:val="00A525A1"/>
    <w:rsid w:val="00AA2C62"/>
    <w:rsid w:val="00AC297E"/>
    <w:rsid w:val="00AC7524"/>
    <w:rsid w:val="00AF191F"/>
    <w:rsid w:val="00B06900"/>
    <w:rsid w:val="00B20491"/>
    <w:rsid w:val="00B24C70"/>
    <w:rsid w:val="00BB381C"/>
    <w:rsid w:val="00BE09A8"/>
    <w:rsid w:val="00BE2B8B"/>
    <w:rsid w:val="00BF0965"/>
    <w:rsid w:val="00C02977"/>
    <w:rsid w:val="00C2607E"/>
    <w:rsid w:val="00C36F0C"/>
    <w:rsid w:val="00C45C52"/>
    <w:rsid w:val="00C94682"/>
    <w:rsid w:val="00CB4A3F"/>
    <w:rsid w:val="00CE67AC"/>
    <w:rsid w:val="00D26B48"/>
    <w:rsid w:val="00D47F99"/>
    <w:rsid w:val="00D544B6"/>
    <w:rsid w:val="00D56B07"/>
    <w:rsid w:val="00D57BB9"/>
    <w:rsid w:val="00D74A67"/>
    <w:rsid w:val="00DB05C5"/>
    <w:rsid w:val="00DB0763"/>
    <w:rsid w:val="00DE4B9A"/>
    <w:rsid w:val="00DF4EA5"/>
    <w:rsid w:val="00E05EC6"/>
    <w:rsid w:val="00E15ED0"/>
    <w:rsid w:val="00E7777E"/>
    <w:rsid w:val="00E816F1"/>
    <w:rsid w:val="00EA05A5"/>
    <w:rsid w:val="00EA722C"/>
    <w:rsid w:val="00EA73F9"/>
    <w:rsid w:val="00EB1CDC"/>
    <w:rsid w:val="00ED2E94"/>
    <w:rsid w:val="00F0301E"/>
    <w:rsid w:val="00F13BE3"/>
    <w:rsid w:val="00F2526D"/>
    <w:rsid w:val="00F51813"/>
    <w:rsid w:val="00F54DDF"/>
    <w:rsid w:val="00F70EF4"/>
    <w:rsid w:val="00F93D78"/>
    <w:rsid w:val="00FB015A"/>
    <w:rsid w:val="00FB54F4"/>
    <w:rsid w:val="00FB5E85"/>
    <w:rsid w:val="00FE1ED9"/>
    <w:rsid w:val="00FE57B3"/>
    <w:rsid w:val="00FE7FCA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031B0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table" w:styleId="Listaclara-nfasis3">
    <w:name w:val="Light List Accent 3"/>
    <w:basedOn w:val="Tablanormal"/>
    <w:uiPriority w:val="61"/>
    <w:rsid w:val="00C2607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aconcuadrcula">
    <w:name w:val="Table Grid"/>
    <w:basedOn w:val="Tablanormal"/>
    <w:uiPriority w:val="59"/>
    <w:rsid w:val="00367ACF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2049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88626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C3A28"/>
    <w:rPr>
      <w:color w:val="954F72" w:themeColor="followedHyperlink"/>
      <w:u w:val="single"/>
    </w:rPr>
  </w:style>
  <w:style w:type="paragraph" w:customStyle="1" w:styleId="Default">
    <w:name w:val="Default"/>
    <w:rsid w:val="00CB4A3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544B6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FE1E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1ED9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E1E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1ED9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aly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ep.gob.mx/work/models/sep1/Resource/1447/1/images/sistemaedumex09_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tecas.ugto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20207-12D0-48DC-B1DE-140F60F3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1206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 Rodriguez</cp:lastModifiedBy>
  <cp:revision>7</cp:revision>
  <dcterms:created xsi:type="dcterms:W3CDTF">2018-01-25T04:55:00Z</dcterms:created>
  <dcterms:modified xsi:type="dcterms:W3CDTF">2019-07-01T15:53:00Z</dcterms:modified>
</cp:coreProperties>
</file>