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2"/>
        <w:gridCol w:w="204"/>
        <w:gridCol w:w="494"/>
        <w:gridCol w:w="173"/>
        <w:gridCol w:w="120"/>
        <w:gridCol w:w="175"/>
        <w:gridCol w:w="137"/>
        <w:gridCol w:w="135"/>
        <w:gridCol w:w="324"/>
        <w:gridCol w:w="299"/>
        <w:gridCol w:w="630"/>
        <w:gridCol w:w="255"/>
        <w:gridCol w:w="417"/>
        <w:gridCol w:w="291"/>
        <w:gridCol w:w="876"/>
        <w:gridCol w:w="35"/>
        <w:gridCol w:w="168"/>
        <w:gridCol w:w="31"/>
        <w:gridCol w:w="372"/>
        <w:gridCol w:w="171"/>
        <w:gridCol w:w="15"/>
        <w:gridCol w:w="42"/>
        <w:gridCol w:w="146"/>
        <w:gridCol w:w="56"/>
        <w:gridCol w:w="521"/>
        <w:gridCol w:w="26"/>
        <w:gridCol w:w="204"/>
        <w:gridCol w:w="233"/>
        <w:gridCol w:w="33"/>
        <w:gridCol w:w="548"/>
        <w:gridCol w:w="13"/>
        <w:gridCol w:w="546"/>
        <w:gridCol w:w="26"/>
      </w:tblGrid>
      <w:tr w:rsidR="00813B97" w:rsidRPr="009278EE" w:rsidTr="009278EE">
        <w:trPr>
          <w:gridAfter w:val="1"/>
          <w:wAfter w:w="14" w:type="pct"/>
          <w:trHeight w:hRule="exact" w:val="510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F54DDF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74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3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B06900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278EE" w:rsidTr="009278EE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" w:type="pct"/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32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hRule="exact" w:val="584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74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3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B06900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278EE" w:rsidTr="009278EE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" w:type="pct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32" w:type="pct"/>
            <w:gridSpan w:val="24"/>
            <w:tcBorders>
              <w:left w:val="nil"/>
            </w:tcBorders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hRule="exact" w:val="976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F54DDF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74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0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946988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Estrategias pedagógicas y didácticas para personas con </w:t>
            </w:r>
            <w:r w:rsidR="009A7DD2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barreras para el aprendizaje y la participación.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02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9278EE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SHLI03210</w:t>
            </w:r>
          </w:p>
        </w:tc>
      </w:tr>
      <w:tr w:rsidR="00813B97" w:rsidRPr="009278EE" w:rsidTr="00946988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9278EE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278EE" w:rsidTr="009278EE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34680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Luis Jesús Ibarra Manrique</w:t>
            </w:r>
          </w:p>
        </w:tc>
      </w:tr>
      <w:tr w:rsidR="00813B97" w:rsidRPr="009278EE" w:rsidTr="00946988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278EE" w:rsidRDefault="00A52C5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278EE" w:rsidRDefault="00A52C5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278EE" w:rsidRDefault="00946988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946988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278EE" w:rsidRDefault="00946988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46988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278EE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9D5800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6D46E9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9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9D5800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46988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278EE" w:rsidTr="00946988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278EE" w:rsidTr="00946988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9278EE" w:rsidTr="00946988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</w:t>
            </w:r>
            <w:r w:rsidR="009D5800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9278EE" w:rsidTr="00946988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2366E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</w:t>
            </w:r>
            <w:r w:rsidR="002366E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9D5800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9278EE" w:rsidTr="00946988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9D5800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Taller   (    ) Laboratorio   ( </w:t>
            </w:r>
            <w:r w:rsidR="002366E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Seminario</w:t>
            </w:r>
          </w:p>
        </w:tc>
      </w:tr>
      <w:tr w:rsidR="00813B97" w:rsidRPr="009278EE" w:rsidTr="009278EE">
        <w:trPr>
          <w:gridAfter w:val="1"/>
          <w:wAfter w:w="14" w:type="pct"/>
          <w:trHeight w:hRule="exact" w:val="80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278EE" w:rsidRDefault="00813B97" w:rsidP="0094698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 (    )</w:t>
            </w:r>
            <w:r w:rsidR="002366E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Recursable  </w:t>
            </w:r>
            <w:r w:rsidR="002366E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102F0F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</w:t>
            </w:r>
            <w:r w:rsidR="002366E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9278EE" w:rsidTr="009278E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278EE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278EE" w:rsidTr="009278EE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13B97" w:rsidRPr="009278EE" w:rsidRDefault="00813B97" w:rsidP="00946988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</w:t>
            </w:r>
            <w:r w:rsidR="009D5800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Licenciatura o Posgrado en Educación, de preferencia en Educación Especial,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 experiencia en </w:t>
            </w:r>
            <w:r w:rsidR="009D5800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docencia en tales áreas.</w:t>
            </w:r>
          </w:p>
          <w:p w:rsidR="00996B9F" w:rsidRPr="009278EE" w:rsidRDefault="009D5800" w:rsidP="00946988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requiere un docente con sensibilidad a la inclusión educativa y </w:t>
            </w:r>
            <w:r w:rsidR="00C44EC3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social ante la interculturalidad y la diversidad en general.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278E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</w:tcPr>
          <w:p w:rsidR="000718E4" w:rsidRPr="009278EE" w:rsidRDefault="00813B97" w:rsidP="000718E4">
            <w:pPr>
              <w:spacing w:after="0" w:line="360" w:lineRule="auto"/>
              <w:ind w:left="709" w:hanging="709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</w:t>
            </w:r>
            <w:r w:rsidR="000718E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etencia genérica institucional </w:t>
            </w:r>
            <w:r w:rsidR="000718E4" w:rsidRPr="009278EE">
              <w:rPr>
                <w:rFonts w:cs="Times New Roman"/>
                <w:color w:val="000000"/>
                <w:sz w:val="20"/>
                <w:szCs w:val="20"/>
              </w:rPr>
              <w:t>CG3, que cita “Man</w:t>
            </w:r>
            <w:bookmarkStart w:id="1" w:name="_GoBack"/>
            <w:bookmarkEnd w:id="1"/>
            <w:r w:rsidR="000718E4" w:rsidRPr="009278EE">
              <w:rPr>
                <w:rFonts w:cs="Times New Roman"/>
                <w:color w:val="000000"/>
                <w:sz w:val="20"/>
                <w:szCs w:val="20"/>
              </w:rPr>
              <w:t>tiene una actitud respetuosa hacia la interculturalidad y la diversidad para crear espacios de convivencia humana, académica y profesional y construir sociedades incluyentes y sustentables” (MEUG).</w:t>
            </w:r>
          </w:p>
          <w:p w:rsidR="00102F0F" w:rsidRPr="009278EE" w:rsidRDefault="00813B97" w:rsidP="009278EE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</w:t>
            </w:r>
            <w:r w:rsidR="000718E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 específica del programa:</w:t>
            </w:r>
            <w:r w:rsidR="000718E4" w:rsidRPr="009278EE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0718E4" w:rsidRPr="009278EE">
              <w:rPr>
                <w:rFonts w:eastAsia="Times New Roman" w:cs="Times New Roman"/>
                <w:i/>
                <w:sz w:val="20"/>
                <w:szCs w:val="20"/>
              </w:rPr>
              <w:t>“CE8. Diseña e implementa acciones educativas que integran a personas con necesidades especiales”</w:t>
            </w:r>
            <w:r w:rsidR="000718E4" w:rsidRPr="009278EE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278E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</w:tcPr>
          <w:p w:rsidR="00813B97" w:rsidRPr="009278EE" w:rsidRDefault="00813B97" w:rsidP="009278EE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atender áreas formativas diversas en el campo de la 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educación especial, a partir de interés de los estudiantes, generado por su inmersión en contextos laborales diversos.</w:t>
            </w:r>
          </w:p>
          <w:p w:rsidR="00813B97" w:rsidRPr="009278EE" w:rsidRDefault="00813B97" w:rsidP="009278EE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facilita </w:t>
            </w:r>
            <w:r w:rsidR="0046235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construcción por 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estudiante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46235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</w:t>
            </w:r>
            <w:r w:rsidR="00AC1251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la capacidad de responder a tales necesidades de atención</w:t>
            </w:r>
            <w:r w:rsidR="0046235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diversa.</w:t>
            </w:r>
          </w:p>
          <w:p w:rsidR="00996B9F" w:rsidRPr="009278EE" w:rsidRDefault="00813B97" w:rsidP="009278EE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462354" w:rsidRPr="009278EE">
              <w:rPr>
                <w:rFonts w:eastAsia="Times New Roman" w:cs="Arial"/>
                <w:bCs/>
                <w:spacing w:val="-1"/>
                <w:sz w:val="20"/>
                <w:szCs w:val="20"/>
              </w:rPr>
              <w:t>podrá cursar en cualquier inscripción, pero es deseable que sea a partir de la 5ª, pues ya se tendrán experiencias formativas y conocimientos básicos que facilitarán el trabajo práctico. De esta forma se podrá relacionar mejor con unidades de aprendizaje vinculadas con el conocimiento del educando y con las que promueven la construcción de estrategias didácticas acordes a contextos específicos.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9278EE" w:rsidRDefault="00813B97" w:rsidP="00102F0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  <w:vAlign w:val="center"/>
          </w:tcPr>
          <w:p w:rsidR="009278EE" w:rsidRDefault="009278EE" w:rsidP="009278EE">
            <w:pPr>
              <w:pStyle w:val="Prrafodelista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Diseña y operacionaliza estrategias de enseñanza y aprendizaje según contextos.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Identifica y gestiona apoyos para atender necesidades educativas específicas en diferentes contextos.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Diseña, gestiona, implementa y evalúa programas y proyectos educativos.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Crea y evalúa ambientes favorables y desafiantes para el aprendizaje.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Diseña e implementa acciones educativas que integran a personas con necesidades especiales.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Genera Innovaciones en distintos ámbitos del sistema educativo.</w:t>
            </w:r>
          </w:p>
          <w:p w:rsidR="00E67B1F" w:rsidRPr="009278EE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 xml:space="preserve">Genera e </w:t>
            </w:r>
            <w:proofErr w:type="spellStart"/>
            <w:r w:rsidRPr="009278EE">
              <w:rPr>
                <w:rFonts w:eastAsia="Times New Roman" w:cs="Times New Roman"/>
                <w:sz w:val="20"/>
                <w:szCs w:val="20"/>
              </w:rPr>
              <w:t>implementa</w:t>
            </w:r>
            <w:proofErr w:type="spellEnd"/>
            <w:r w:rsidRPr="009278EE">
              <w:rPr>
                <w:rFonts w:eastAsia="Times New Roman" w:cs="Times New Roman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F54DDF" w:rsidRDefault="00E67B1F" w:rsidP="009278E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278EE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:rsidR="009278EE" w:rsidRPr="009278EE" w:rsidRDefault="009278EE" w:rsidP="009278EE">
            <w:pPr>
              <w:pStyle w:val="Prrafodelista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13B97" w:rsidRPr="009278EE" w:rsidTr="009278E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278E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125467" w:rsidRPr="009278EE" w:rsidTr="009278EE">
        <w:trPr>
          <w:jc w:val="center"/>
        </w:trPr>
        <w:tc>
          <w:tcPr>
            <w:tcW w:w="5000" w:type="pct"/>
            <w:gridSpan w:val="2"/>
          </w:tcPr>
          <w:p w:rsidR="009278EE" w:rsidRDefault="009278EE" w:rsidP="009278EE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125467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Integración e inclusión educativa</w:t>
            </w:r>
          </w:p>
          <w:p w:rsidR="00125467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El carácter multi e interdisciplinario de la atención a personas con necesidades educativas especiales</w:t>
            </w:r>
          </w:p>
          <w:p w:rsidR="00125467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Adecuaciones curriculares y necesidades educativas especiales</w:t>
            </w:r>
          </w:p>
          <w:p w:rsidR="00125467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Estrategias didácticas para atender a las personas con necesidades educativas especiales.</w:t>
            </w:r>
          </w:p>
          <w:p w:rsidR="009278EE" w:rsidRPr="009278EE" w:rsidRDefault="009278EE" w:rsidP="009278EE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125467" w:rsidRPr="009278EE" w:rsidTr="009278EE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125467" w:rsidRPr="009278EE" w:rsidRDefault="00125467" w:rsidP="001254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125467" w:rsidRPr="009278EE" w:rsidRDefault="00125467" w:rsidP="001254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125467" w:rsidRPr="009278EE" w:rsidTr="009278EE">
        <w:trPr>
          <w:jc w:val="center"/>
        </w:trPr>
        <w:tc>
          <w:tcPr>
            <w:tcW w:w="2552" w:type="pct"/>
            <w:vAlign w:val="center"/>
          </w:tcPr>
          <w:p w:rsidR="009278EE" w:rsidRDefault="009278EE" w:rsidP="009278EE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125467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Lectura de materiales diversos</w:t>
            </w:r>
          </w:p>
          <w:p w:rsidR="001F5BC5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Puesta en común de conclusiones</w:t>
            </w:r>
          </w:p>
          <w:p w:rsidR="001F5BC5" w:rsidRPr="009278EE" w:rsidRDefault="00124122" w:rsidP="0012546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Ejercicios sobre adecuaciones curriculares y puesta en práctica de éstas, con el seguimiento específico</w:t>
            </w:r>
          </w:p>
        </w:tc>
        <w:tc>
          <w:tcPr>
            <w:tcW w:w="2448" w:type="pct"/>
            <w:vAlign w:val="center"/>
          </w:tcPr>
          <w:p w:rsidR="00125467" w:rsidRPr="009278EE" w:rsidRDefault="00124122" w:rsidP="00124122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Revisión de lecturas y videos sobre el tema y sus aplicaciones</w:t>
            </w:r>
          </w:p>
          <w:p w:rsidR="00124122" w:rsidRPr="009278EE" w:rsidRDefault="00124122" w:rsidP="00124122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Planeaciones didácticas, con las adecuaciones necesarias</w:t>
            </w:r>
          </w:p>
        </w:tc>
      </w:tr>
      <w:tr w:rsidR="00125467" w:rsidRPr="009278EE" w:rsidTr="009278EE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125467" w:rsidRPr="009278EE" w:rsidRDefault="00125467" w:rsidP="001254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125467" w:rsidRPr="009278EE" w:rsidRDefault="00125467" w:rsidP="001254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125467" w:rsidRPr="009278EE" w:rsidTr="009278EE">
        <w:trPr>
          <w:jc w:val="center"/>
        </w:trPr>
        <w:tc>
          <w:tcPr>
            <w:tcW w:w="2552" w:type="pct"/>
          </w:tcPr>
          <w:p w:rsidR="009278EE" w:rsidRDefault="009278EE" w:rsidP="009278EE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124122" w:rsidRPr="009278EE" w:rsidRDefault="00124122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Resumen de lecturas a través de fichas de trabajo, mapas mentales y conceptuales</w:t>
            </w:r>
          </w:p>
          <w:p w:rsidR="00124122" w:rsidRPr="009278EE" w:rsidRDefault="00124122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Adecuaciones curriculares para personas con necesidades educativas especiales</w:t>
            </w:r>
          </w:p>
          <w:p w:rsidR="00124122" w:rsidRPr="009278EE" w:rsidRDefault="00124122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Diario de campo o registros de clase</w:t>
            </w:r>
          </w:p>
          <w:p w:rsidR="00125467" w:rsidRPr="009278EE" w:rsidRDefault="00124122" w:rsidP="007B0F5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Ensayos analíticos de la puesta en práctica de adecuaciones curriculares.</w:t>
            </w:r>
          </w:p>
        </w:tc>
        <w:tc>
          <w:tcPr>
            <w:tcW w:w="2448" w:type="pct"/>
          </w:tcPr>
          <w:p w:rsidR="009278EE" w:rsidRDefault="009278EE" w:rsidP="009278EE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125467" w:rsidRPr="009278EE" w:rsidRDefault="007B0F57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Lectura crítica de materiales. 25 %</w:t>
            </w:r>
          </w:p>
          <w:p w:rsidR="007B0F57" w:rsidRPr="009278EE" w:rsidRDefault="007B0F57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Participación en clase. 10 %</w:t>
            </w:r>
          </w:p>
          <w:p w:rsidR="007B0F57" w:rsidRPr="009278EE" w:rsidRDefault="007B0F57" w:rsidP="007B0F57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Planeación y puesta en común de estrategias. 25%</w:t>
            </w:r>
          </w:p>
          <w:p w:rsidR="007B0F57" w:rsidRPr="009278EE" w:rsidRDefault="007B0F57" w:rsidP="007B0F5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Recuperación y análisis de estrategias aplicadas. 20%</w:t>
            </w:r>
          </w:p>
          <w:p w:rsidR="007B0F57" w:rsidRPr="009278EE" w:rsidRDefault="007B0F57" w:rsidP="007B0F5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Ensayo analítico final. 30%</w:t>
            </w:r>
          </w:p>
          <w:p w:rsidR="009278EE" w:rsidRPr="009278EE" w:rsidRDefault="009278EE" w:rsidP="009278EE">
            <w:pPr>
              <w:spacing w:after="0" w:line="240" w:lineRule="auto"/>
              <w:ind w:left="360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78"/>
      </w:tblGrid>
      <w:tr w:rsidR="00813B97" w:rsidRPr="009278EE" w:rsidTr="005F42C2">
        <w:tc>
          <w:tcPr>
            <w:tcW w:w="5000" w:type="pct"/>
            <w:gridSpan w:val="2"/>
            <w:shd w:val="clear" w:color="auto" w:fill="5B9BD5" w:themeFill="accent5"/>
          </w:tcPr>
          <w:p w:rsidR="00813B97" w:rsidRPr="009278EE" w:rsidRDefault="00813B97" w:rsidP="00946988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9278EE" w:rsidTr="009278EE">
        <w:tc>
          <w:tcPr>
            <w:tcW w:w="2648" w:type="pct"/>
            <w:shd w:val="clear" w:color="auto" w:fill="5B9BD5" w:themeFill="accent5"/>
          </w:tcPr>
          <w:p w:rsidR="00813B97" w:rsidRPr="009278E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BIBLIOGRÁFICAS</w:t>
            </w:r>
          </w:p>
        </w:tc>
        <w:tc>
          <w:tcPr>
            <w:tcW w:w="2352" w:type="pct"/>
            <w:shd w:val="clear" w:color="auto" w:fill="5B9BD5" w:themeFill="accent5"/>
            <w:vAlign w:val="center"/>
          </w:tcPr>
          <w:p w:rsidR="00813B97" w:rsidRPr="009278E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278EE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278EE" w:rsidTr="009278EE">
        <w:tc>
          <w:tcPr>
            <w:tcW w:w="2648" w:type="pct"/>
          </w:tcPr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AEBI, Hans. Doce formas básicas de enseñar: Una didáctica basada en la psicología.  España, Narcea, 1988.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BLANCO Rosa, “Innovación y recursos en el Aula”, en Desarrollo Psicológico y Educación, III, en </w:t>
            </w:r>
            <w:proofErr w:type="spellStart"/>
            <w:r w:rsidRPr="009278EE">
              <w:rPr>
                <w:sz w:val="20"/>
                <w:szCs w:val="20"/>
              </w:rPr>
              <w:t>Alvaro</w:t>
            </w:r>
            <w:proofErr w:type="spellEnd"/>
            <w:r w:rsidRPr="009278EE">
              <w:rPr>
                <w:sz w:val="20"/>
                <w:szCs w:val="20"/>
              </w:rPr>
              <w:t xml:space="preserve"> Marchesi, César Coll y Jesús Palacios. España, Alianza y Psicología, 1998.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CALVO Rodríguez Ángel R., Antonio Martínez Alcolea. “Técnicas y Procedimientos para realizar las Adaptaciones </w:t>
            </w:r>
            <w:proofErr w:type="spellStart"/>
            <w:r w:rsidRPr="009278EE">
              <w:rPr>
                <w:sz w:val="20"/>
                <w:szCs w:val="20"/>
              </w:rPr>
              <w:t>Curriculuares</w:t>
            </w:r>
            <w:proofErr w:type="spellEnd"/>
            <w:proofErr w:type="gramStart"/>
            <w:r w:rsidRPr="009278EE">
              <w:rPr>
                <w:sz w:val="20"/>
                <w:szCs w:val="20"/>
              </w:rPr>
              <w:t>”,  España</w:t>
            </w:r>
            <w:proofErr w:type="gramEnd"/>
            <w:r w:rsidRPr="009278EE">
              <w:rPr>
                <w:sz w:val="20"/>
                <w:szCs w:val="20"/>
              </w:rPr>
              <w:t>, Escuela Española, 1995.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CUOMO </w:t>
            </w:r>
            <w:proofErr w:type="spellStart"/>
            <w:r w:rsidRPr="009278EE">
              <w:rPr>
                <w:sz w:val="20"/>
                <w:szCs w:val="20"/>
              </w:rPr>
              <w:t>Incola</w:t>
            </w:r>
            <w:proofErr w:type="spellEnd"/>
            <w:r w:rsidRPr="009278EE">
              <w:rPr>
                <w:sz w:val="20"/>
                <w:szCs w:val="20"/>
              </w:rPr>
              <w:t xml:space="preserve">. “La Integración; Mentalidad y Competencias”, en Miguel López Melero y José Francisco Guerrero (COMP), Lecturas sobre Integración Escolar y Social. España, Paidós, 1996. </w:t>
            </w:r>
          </w:p>
          <w:p w:rsidR="00F51061" w:rsidRPr="009278EE" w:rsidRDefault="00F51061" w:rsidP="009278EE">
            <w:pPr>
              <w:shd w:val="clear" w:color="auto" w:fill="FFFFFF" w:themeFill="background1"/>
              <w:spacing w:after="0" w:line="240" w:lineRule="auto"/>
              <w:ind w:left="567" w:hanging="567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DE LEÓN, Nayeli, De la Educación Especial al paradigma de la cultura de la diversidad y la Educación Inclusiva: El caso de instituto Herbert” Tesis para obtener el grado de maestría en Educación Inclusiva. España, Universidad Internacional de Andalucía, 2010.</w:t>
            </w:r>
          </w:p>
          <w:p w:rsidR="00F51061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GARCÍA CEDILLO, Ismael, et. Al. (2000) “La integración educativa en el aula regular. Principios, finalidades y estrategias”. México, SEP, 1ra. Ed. 2000.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HEGARTY S., A. Hodgson y L. </w:t>
            </w:r>
            <w:proofErr w:type="spellStart"/>
            <w:r w:rsidRPr="009278EE">
              <w:rPr>
                <w:sz w:val="20"/>
                <w:szCs w:val="20"/>
              </w:rPr>
              <w:t>Clunies</w:t>
            </w:r>
            <w:proofErr w:type="spellEnd"/>
            <w:r w:rsidRPr="009278EE">
              <w:rPr>
                <w:sz w:val="20"/>
                <w:szCs w:val="20"/>
              </w:rPr>
              <w:t>-Ross “</w:t>
            </w:r>
            <w:proofErr w:type="gramStart"/>
            <w:r w:rsidRPr="009278EE">
              <w:rPr>
                <w:sz w:val="20"/>
                <w:szCs w:val="20"/>
              </w:rPr>
              <w:t>Práctica  en</w:t>
            </w:r>
            <w:proofErr w:type="gramEnd"/>
            <w:r w:rsidRPr="009278EE">
              <w:rPr>
                <w:sz w:val="20"/>
                <w:szCs w:val="20"/>
              </w:rPr>
              <w:t xml:space="preserve"> el Aula”, en Aprender Juntos, la Integración Escolar, Madrid, Morata, 1994.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  <w:lang w:val="en-US"/>
              </w:rPr>
              <w:t xml:space="preserve">HEGARTY S.A. Hodgson y L. </w:t>
            </w:r>
            <w:proofErr w:type="spellStart"/>
            <w:r w:rsidRPr="009278EE">
              <w:rPr>
                <w:sz w:val="20"/>
                <w:szCs w:val="20"/>
                <w:lang w:val="en-US"/>
              </w:rPr>
              <w:t>Clunies</w:t>
            </w:r>
            <w:proofErr w:type="spellEnd"/>
            <w:r w:rsidRPr="009278EE">
              <w:rPr>
                <w:sz w:val="20"/>
                <w:szCs w:val="20"/>
                <w:lang w:val="en-US"/>
              </w:rPr>
              <w:t xml:space="preserve">-Ross. </w:t>
            </w:r>
            <w:r w:rsidRPr="009278EE">
              <w:rPr>
                <w:sz w:val="20"/>
                <w:szCs w:val="20"/>
              </w:rPr>
              <w:t>“Organización de la Clase” en Aprender Juntos, La Integración Escolar. Madrid, Morata, 1994.</w:t>
            </w:r>
          </w:p>
          <w:p w:rsidR="00F51061" w:rsidRPr="009278EE" w:rsidRDefault="00F51061" w:rsidP="009278EE">
            <w:pPr>
              <w:spacing w:after="0" w:line="240" w:lineRule="auto"/>
              <w:ind w:left="1010" w:hanging="902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ROMO Cuevas, Ma. Dolores y Ma. De la Asunción Hermosillo Tostado. Estrategias Didácticas para la Atención de las Necesidades Educativas Especiales, Aguascalientes, México, Universidad Pedagógica Nacional, Unidad 011, 2000.</w:t>
            </w:r>
          </w:p>
          <w:p w:rsidR="00F51061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SECRETARÍA DE EDUCACIÓN DE GUANAJUATO, Propuesta Curricular Adaptada, Guanajuato, México, 2010.</w:t>
            </w:r>
          </w:p>
          <w:p w:rsidR="00F51061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SECRETARÍA DE EDUCACIÓN PÚBLICA, Dirección de Educación Especial, Memorias y actualidad en la Educación Especial en México. Una visión histórica de sus modelos de atención. México, 2010.</w:t>
            </w:r>
          </w:p>
          <w:p w:rsidR="00F51061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SECRETARÍA DE EDUCACIÓN PÚBLICA, Educación Inclusiva, México, 2012.</w:t>
            </w:r>
          </w:p>
          <w:p w:rsidR="005F42C2" w:rsidRPr="009278EE" w:rsidRDefault="005F42C2" w:rsidP="009278EE">
            <w:pPr>
              <w:shd w:val="clear" w:color="auto" w:fill="FFFFFF" w:themeFill="background1"/>
              <w:spacing w:after="0" w:line="240" w:lineRule="auto"/>
              <w:ind w:left="567" w:hanging="567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SECRETARÍA DE EDUCACIÓN PÚBLICA, Glosario de Educación Especial</w:t>
            </w:r>
            <w:r w:rsidR="00B1670D" w:rsidRPr="009278EE">
              <w:rPr>
                <w:sz w:val="20"/>
                <w:szCs w:val="20"/>
              </w:rPr>
              <w:t xml:space="preserve">, México. En: </w:t>
            </w:r>
            <w:hyperlink r:id="rId7" w:history="1">
              <w:r w:rsidR="00B1670D" w:rsidRPr="009278EE">
                <w:rPr>
                  <w:rStyle w:val="Hipervnculo"/>
                  <w:sz w:val="20"/>
                  <w:szCs w:val="20"/>
                </w:rPr>
                <w:t>http://www.educacionespecial.sep.gob.mx/pdf/glosario/Glosario_final.pdf</w:t>
              </w:r>
            </w:hyperlink>
            <w:r w:rsidR="00B1670D" w:rsidRPr="009278EE">
              <w:rPr>
                <w:sz w:val="20"/>
                <w:szCs w:val="20"/>
              </w:rPr>
              <w:t>. Consultado en enero de 2018.</w:t>
            </w:r>
          </w:p>
          <w:p w:rsidR="00F51061" w:rsidRPr="009278EE" w:rsidRDefault="00F51061" w:rsidP="009278EE">
            <w:pPr>
              <w:shd w:val="clear" w:color="auto" w:fill="FFFFFF" w:themeFill="background1"/>
              <w:spacing w:after="0" w:line="240" w:lineRule="auto"/>
              <w:ind w:left="567" w:hanging="567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SECRETARÍA DE EDUCACIÓN PÚBLICA, Guía para facilitar </w:t>
            </w:r>
            <w:r w:rsidRPr="009278EE">
              <w:rPr>
                <w:sz w:val="20"/>
                <w:szCs w:val="20"/>
              </w:rPr>
              <w:lastRenderedPageBreak/>
              <w:t>la inclusión de alumnos y alumnas con discapacidad en escuelas que participan en el Programa Escuelas de Calidad, México, 2010.</w:t>
            </w:r>
          </w:p>
          <w:p w:rsidR="00F51061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>SECRETARÍA DE EDUCACIÓN PÚBLICA, Programa nacional de fortalecimiento a la Educación Especial y de la Integración Educativa, México, 2012.</w:t>
            </w:r>
          </w:p>
          <w:p w:rsidR="004A693E" w:rsidRPr="009278EE" w:rsidRDefault="00F51061" w:rsidP="009278EE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  <w:shd w:val="clear" w:color="auto" w:fill="FFFFFF"/>
              </w:rPr>
              <w:t>VALDÉS, Ana María y MONEREO, Carles, “Desafíos a la formación del docente inclusivo: La identidad profesional y su relación con los incidentes críticos”.</w:t>
            </w:r>
            <w:r w:rsidRPr="009278EE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hyperlink r:id="rId8" w:tgtFrame="_blank" w:tooltip="Revista Latinoamericana de Inclusión Educativa" w:history="1">
              <w:r w:rsidRPr="009278EE">
                <w:rPr>
                  <w:rStyle w:val="Hipervnculo"/>
                  <w:iCs/>
                  <w:color w:val="auto"/>
                  <w:sz w:val="20"/>
                  <w:szCs w:val="20"/>
                  <w:u w:val="none"/>
                  <w:shd w:val="clear" w:color="auto" w:fill="FFFFFF"/>
                </w:rPr>
                <w:t>Revista Latinoamericana de Inclusión Educativa</w:t>
              </w:r>
            </w:hyperlink>
            <w:r w:rsidRPr="009278EE">
              <w:rPr>
                <w:rStyle w:val="nfasis"/>
                <w:sz w:val="20"/>
                <w:szCs w:val="20"/>
                <w:shd w:val="clear" w:color="auto" w:fill="FFFFFF"/>
              </w:rPr>
              <w:t xml:space="preserve">, Vol. 6 </w:t>
            </w:r>
            <w:r w:rsidRPr="009278EE">
              <w:rPr>
                <w:sz w:val="20"/>
                <w:szCs w:val="20"/>
                <w:shd w:val="clear" w:color="auto" w:fill="FFFFFF"/>
              </w:rPr>
              <w:t>(No.2), pp. 193-208, 2012.</w:t>
            </w:r>
            <w:r w:rsidRPr="009278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52" w:type="pct"/>
          </w:tcPr>
          <w:p w:rsidR="00813B97" w:rsidRPr="009278EE" w:rsidRDefault="007B0F57" w:rsidP="009A7DD2">
            <w:pPr>
              <w:spacing w:after="0" w:line="240" w:lineRule="auto"/>
              <w:ind w:left="1010" w:hanging="902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lastRenderedPageBreak/>
              <w:t>Autismo Diario</w:t>
            </w:r>
            <w:r w:rsidR="00B1670D" w:rsidRPr="009278EE">
              <w:rPr>
                <w:sz w:val="20"/>
                <w:szCs w:val="20"/>
              </w:rPr>
              <w:t xml:space="preserve">. </w:t>
            </w:r>
            <w:hyperlink r:id="rId9" w:history="1">
              <w:r w:rsidRPr="009278EE">
                <w:rPr>
                  <w:rStyle w:val="Hipervnculo"/>
                  <w:sz w:val="20"/>
                  <w:szCs w:val="20"/>
                  <w:lang w:val="es-ES"/>
                </w:rPr>
                <w:t>https://autismodiario.org/</w:t>
              </w:r>
            </w:hyperlink>
            <w:r w:rsidR="009A7DD2" w:rsidRPr="009278EE">
              <w:rPr>
                <w:rStyle w:val="Hipervnculo"/>
                <w:sz w:val="20"/>
                <w:szCs w:val="20"/>
                <w:lang w:val="es-ES"/>
              </w:rPr>
              <w:t>.</w:t>
            </w:r>
            <w:r w:rsidR="009A7DD2" w:rsidRPr="009278EE">
              <w:rPr>
                <w:sz w:val="20"/>
                <w:szCs w:val="20"/>
              </w:rPr>
              <w:t xml:space="preserve"> Consultada en enero de 2018.</w:t>
            </w:r>
          </w:p>
          <w:p w:rsidR="00B1670D" w:rsidRPr="009278EE" w:rsidRDefault="00B1670D" w:rsidP="009A7DD2">
            <w:pPr>
              <w:spacing w:after="0" w:line="240" w:lineRule="auto"/>
              <w:ind w:left="1010" w:hanging="902"/>
              <w:rPr>
                <w:sz w:val="20"/>
                <w:szCs w:val="20"/>
              </w:rPr>
            </w:pPr>
            <w:r w:rsidRPr="009278EE">
              <w:rPr>
                <w:sz w:val="20"/>
                <w:szCs w:val="20"/>
              </w:rPr>
              <w:t xml:space="preserve">Barreras para el Aprendizaje y la Participación -BAP.  </w:t>
            </w:r>
            <w:hyperlink r:id="rId10" w:history="1">
              <w:r w:rsidRPr="009278EE">
                <w:rPr>
                  <w:rStyle w:val="Hipervnculo"/>
                  <w:sz w:val="20"/>
                  <w:szCs w:val="20"/>
                  <w:lang w:val="es-ES"/>
                </w:rPr>
                <w:t>https://www.youtube.com/watch?v=HK9mVwy_YvE</w:t>
              </w:r>
            </w:hyperlink>
            <w:r w:rsidRPr="009278EE">
              <w:rPr>
                <w:rStyle w:val="Hipervnculo"/>
                <w:sz w:val="20"/>
                <w:szCs w:val="20"/>
                <w:lang w:val="es-ES"/>
              </w:rPr>
              <w:t>.</w:t>
            </w:r>
            <w:r w:rsidRPr="009278EE">
              <w:rPr>
                <w:sz w:val="20"/>
                <w:szCs w:val="20"/>
              </w:rPr>
              <w:t xml:space="preserve"> Consultada en enero de 2018.</w:t>
            </w:r>
          </w:p>
          <w:p w:rsidR="00B1670D" w:rsidRPr="009278EE" w:rsidRDefault="00B1670D" w:rsidP="009A7DD2">
            <w:pPr>
              <w:spacing w:after="0" w:line="240" w:lineRule="auto"/>
              <w:ind w:left="1010" w:hanging="902"/>
              <w:rPr>
                <w:sz w:val="20"/>
                <w:szCs w:val="20"/>
                <w:lang w:val="es-ES"/>
              </w:rPr>
            </w:pPr>
            <w:r w:rsidRPr="009278EE">
              <w:rPr>
                <w:sz w:val="20"/>
                <w:szCs w:val="20"/>
                <w:lang w:val="es-ES"/>
              </w:rPr>
              <w:t xml:space="preserve">SEP. Educación Especial. </w:t>
            </w:r>
            <w:hyperlink r:id="rId11" w:history="1">
              <w:r w:rsidRPr="009278EE">
                <w:rPr>
                  <w:rStyle w:val="Hipervnculo"/>
                  <w:sz w:val="20"/>
                  <w:szCs w:val="20"/>
                  <w:lang w:val="es-ES"/>
                </w:rPr>
                <w:t>http://www.educacionespecial.sep.gob.mx/2016/index.html</w:t>
              </w:r>
            </w:hyperlink>
            <w:r w:rsidRPr="009278EE">
              <w:rPr>
                <w:sz w:val="20"/>
                <w:szCs w:val="20"/>
                <w:lang w:val="es-ES"/>
              </w:rPr>
              <w:t xml:space="preserve">. Consultada en enero de 2018. </w:t>
            </w:r>
          </w:p>
          <w:p w:rsidR="005F42C2" w:rsidRPr="009278EE" w:rsidRDefault="005F42C2" w:rsidP="009A7DD2">
            <w:pPr>
              <w:spacing w:after="0" w:line="240" w:lineRule="auto"/>
              <w:ind w:left="1010" w:hanging="902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9278EE" w:rsidRDefault="00813B97">
      <w:pPr>
        <w:rPr>
          <w:sz w:val="20"/>
          <w:szCs w:val="20"/>
        </w:rPr>
      </w:pPr>
    </w:p>
    <w:sectPr w:rsidR="00813B97" w:rsidRPr="009278EE" w:rsidSect="009278EE">
      <w:headerReference w:type="default" r:id="rId12"/>
      <w:pgSz w:w="12240" w:h="15840"/>
      <w:pgMar w:top="993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B83" w:rsidRDefault="00FF0B83" w:rsidP="009278EE">
      <w:pPr>
        <w:spacing w:after="0" w:line="240" w:lineRule="auto"/>
      </w:pPr>
      <w:r>
        <w:separator/>
      </w:r>
    </w:p>
  </w:endnote>
  <w:endnote w:type="continuationSeparator" w:id="0">
    <w:p w:rsidR="00FF0B83" w:rsidRDefault="00FF0B83" w:rsidP="0092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B83" w:rsidRDefault="00FF0B83" w:rsidP="009278EE">
      <w:pPr>
        <w:spacing w:after="0" w:line="240" w:lineRule="auto"/>
      </w:pPr>
      <w:r>
        <w:separator/>
      </w:r>
    </w:p>
  </w:footnote>
  <w:footnote w:type="continuationSeparator" w:id="0">
    <w:p w:rsidR="00FF0B83" w:rsidRDefault="00FF0B83" w:rsidP="0092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0"/>
      <w:gridCol w:w="1950"/>
    </w:tblGrid>
    <w:tr w:rsidR="009278EE" w:rsidRPr="004B10D1" w:rsidTr="008B1952">
      <w:trPr>
        <w:trHeight w:val="600"/>
      </w:trPr>
      <w:tc>
        <w:tcPr>
          <w:tcW w:w="9968" w:type="dxa"/>
          <w:vAlign w:val="center"/>
        </w:tcPr>
        <w:p w:rsidR="009278EE" w:rsidRPr="0090363F" w:rsidRDefault="009278EE" w:rsidP="009278EE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Estrategias pedagógicas y didácticas para personas con barreras para el aprendizaje y la participación</w:t>
          </w:r>
        </w:p>
      </w:tc>
      <w:tc>
        <w:tcPr>
          <w:tcW w:w="2786" w:type="dxa"/>
        </w:tcPr>
        <w:p w:rsidR="009278EE" w:rsidRPr="004B10D1" w:rsidRDefault="009278EE" w:rsidP="009278EE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958E648" wp14:editId="028727CF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278EE" w:rsidRDefault="009278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C11C7"/>
    <w:multiLevelType w:val="singleLevel"/>
    <w:tmpl w:val="5BB23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A29228A"/>
    <w:multiLevelType w:val="hybridMultilevel"/>
    <w:tmpl w:val="62C0FC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718E4"/>
    <w:rsid w:val="00102F0F"/>
    <w:rsid w:val="00112C5B"/>
    <w:rsid w:val="00124122"/>
    <w:rsid w:val="00125467"/>
    <w:rsid w:val="001819BD"/>
    <w:rsid w:val="001F5BC5"/>
    <w:rsid w:val="002366EA"/>
    <w:rsid w:val="002A15AA"/>
    <w:rsid w:val="00462354"/>
    <w:rsid w:val="004A693E"/>
    <w:rsid w:val="004B0FA1"/>
    <w:rsid w:val="005F42C2"/>
    <w:rsid w:val="0061497C"/>
    <w:rsid w:val="006B47E3"/>
    <w:rsid w:val="006D46E9"/>
    <w:rsid w:val="006F7859"/>
    <w:rsid w:val="007B0F57"/>
    <w:rsid w:val="00813B97"/>
    <w:rsid w:val="00822AF6"/>
    <w:rsid w:val="00834680"/>
    <w:rsid w:val="008C6000"/>
    <w:rsid w:val="009278EE"/>
    <w:rsid w:val="00946988"/>
    <w:rsid w:val="009913BB"/>
    <w:rsid w:val="00996B9F"/>
    <w:rsid w:val="009A7DD2"/>
    <w:rsid w:val="009C560A"/>
    <w:rsid w:val="009D5800"/>
    <w:rsid w:val="00A525A1"/>
    <w:rsid w:val="00A52C57"/>
    <w:rsid w:val="00AC1251"/>
    <w:rsid w:val="00B06900"/>
    <w:rsid w:val="00B1670D"/>
    <w:rsid w:val="00C44EC3"/>
    <w:rsid w:val="00D907E5"/>
    <w:rsid w:val="00DE4B9A"/>
    <w:rsid w:val="00DF7B4F"/>
    <w:rsid w:val="00E67B1F"/>
    <w:rsid w:val="00E816F1"/>
    <w:rsid w:val="00EA73F9"/>
    <w:rsid w:val="00ED4943"/>
    <w:rsid w:val="00F51061"/>
    <w:rsid w:val="00F54DDF"/>
    <w:rsid w:val="00F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B4EA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1241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B0F5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B0F57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Fuentedeprrafopredeter"/>
    <w:rsid w:val="004A693E"/>
  </w:style>
  <w:style w:type="character" w:styleId="nfasis">
    <w:name w:val="Emphasis"/>
    <w:basedOn w:val="Fuentedeprrafopredeter"/>
    <w:uiPriority w:val="20"/>
    <w:qFormat/>
    <w:rsid w:val="004A693E"/>
    <w:rPr>
      <w:i/>
      <w:iCs/>
    </w:rPr>
  </w:style>
  <w:style w:type="paragraph" w:styleId="Encabezado">
    <w:name w:val="header"/>
    <w:basedOn w:val="Normal"/>
    <w:link w:val="EncabezadoCar"/>
    <w:unhideWhenUsed/>
    <w:rsid w:val="009278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278E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278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8EE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nace.net/rlei/numeros/vol6-num2/art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cionespecial.sep.gob.mx/pdf/glosario/Glosario_final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cionespecial.sep.gob.mx/2016/index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HK9mVwy_Y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utismodiario.org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1300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cirycervera</dc:creator>
  <cp:lastModifiedBy>Alberto Silva</cp:lastModifiedBy>
  <cp:revision>5</cp:revision>
  <dcterms:created xsi:type="dcterms:W3CDTF">2018-01-30T04:22:00Z</dcterms:created>
  <dcterms:modified xsi:type="dcterms:W3CDTF">2018-04-19T20:28:00Z</dcterms:modified>
</cp:coreProperties>
</file>