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C2" w:rsidRDefault="007264C2" w:rsidP="00F54DDF">
      <w:pPr>
        <w:rPr>
          <w:rFonts w:ascii="Gandhi Serif" w:hAnsi="Gandhi Serif"/>
          <w:sz w:val="4"/>
          <w:szCs w:val="4"/>
        </w:rPr>
      </w:pPr>
    </w:p>
    <w:p w:rsidR="007264C2" w:rsidRDefault="007264C2" w:rsidP="00F54DDF">
      <w:pPr>
        <w:rPr>
          <w:rFonts w:ascii="Gandhi Serif" w:hAnsi="Gandhi Serif"/>
          <w:sz w:val="4"/>
          <w:szCs w:val="4"/>
        </w:rPr>
      </w:pPr>
    </w:p>
    <w:p w:rsidR="00F54DDF" w:rsidRPr="00F54DDF" w:rsidRDefault="00F54DDF" w:rsidP="00F54DDF">
      <w:pPr>
        <w:rPr>
          <w:rFonts w:ascii="Gandhi Serif" w:hAnsi="Gandhi Serif"/>
          <w:sz w:val="4"/>
          <w:szCs w:val="4"/>
        </w:rPr>
      </w:pPr>
      <w:r>
        <w:rPr>
          <w:noProof/>
        </w:rPr>
        <w:drawing>
          <wp:inline distT="0" distB="0" distL="0" distR="0">
            <wp:extent cx="1662126" cy="582151"/>
            <wp:effectExtent l="0" t="0" r="0" b="8890"/>
            <wp:docPr id="1" name="Imagen 1" descr="C:\Users\Dra. Cirila Cervera\AppData\Local\Microsoft\Windows\INetCache\Content.Word\escudo UG actu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. Cirila Cervera\AppData\Local\Microsoft\Windows\INetCache\Content.Word\escudo UG actua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126" cy="582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B97" w:rsidRPr="00F54DDF" w:rsidRDefault="00F54DDF" w:rsidP="00F54DDF">
      <w:pPr>
        <w:jc w:val="center"/>
        <w:rPr>
          <w:rFonts w:ascii="Gandhi Serif" w:hAnsi="Gandhi Serif"/>
          <w:b/>
        </w:rPr>
      </w:pPr>
      <w:r w:rsidRPr="00F54DDF">
        <w:rPr>
          <w:rFonts w:ascii="Gandhi Serif" w:hAnsi="Gandhi Serif"/>
          <w:b/>
          <w:color w:val="2F5496" w:themeColor="accent1" w:themeShade="BF"/>
          <w:sz w:val="24"/>
        </w:rPr>
        <w:t>Planeación de Unidad de Aprendizaje</w:t>
      </w:r>
    </w:p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B06900" w:rsidTr="00C27F66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F54DDF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bookmarkStart w:id="0" w:name="h.scrlh75ddt3f" w:colFirst="0" w:colLast="0"/>
            <w:bookmarkEnd w:id="0"/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D46E9" w:rsidRDefault="00B06900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Campus Guanajuato, División de Ciencias Sociales y Humanidades</w:t>
            </w:r>
          </w:p>
        </w:tc>
      </w:tr>
      <w:tr w:rsidR="00813B97" w:rsidRPr="00B06900" w:rsidTr="00C27F66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6D46E9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D46E9" w:rsidRDefault="00B06900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Licenciatura en Educación</w:t>
            </w:r>
          </w:p>
        </w:tc>
      </w:tr>
      <w:tr w:rsidR="00813B97" w:rsidRPr="00B06900" w:rsidTr="00C27F66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57" w:type="pct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F54DDF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4D414A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Nuevas Perspectivas en Orientación Educativa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632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AB5DF6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B06900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29/03/2017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ELABORÓ</w:t>
            </w:r>
          </w:p>
        </w:tc>
      </w:tr>
      <w:tr w:rsidR="00813B97" w:rsidRPr="00B06900" w:rsidTr="00C27F66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7C2" w:rsidRPr="00B06900" w:rsidRDefault="004967C2" w:rsidP="00496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t xml:space="preserve">Adriana Myriam </w:t>
            </w:r>
            <w:proofErr w:type="spellStart"/>
            <w:r>
              <w:t>Aguiñaga</w:t>
            </w:r>
            <w:proofErr w:type="spellEnd"/>
            <w:r>
              <w:t xml:space="preserve"> Jiménez</w:t>
            </w:r>
          </w:p>
        </w:tc>
      </w:tr>
      <w:tr w:rsidR="00813B97" w:rsidRPr="00B06900" w:rsidTr="00AB5DF6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HORAS DE TRABAJO</w:t>
            </w:r>
            <w:r w:rsidR="006D46E9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06900" w:rsidRDefault="004967C2" w:rsidP="00496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 xml:space="preserve">HORAS DE </w:t>
            </w:r>
            <w:r w:rsidR="006D46E9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06900" w:rsidRDefault="004967C2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D72C1" w:rsidRDefault="004967C2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/>
                <w:bCs/>
                <w:color w:val="FF0000"/>
                <w:spacing w:val="-1"/>
              </w:rPr>
            </w:pPr>
            <w:r>
              <w:rPr>
                <w:rFonts w:ascii="Gandhi Sans" w:eastAsia="Times New Roman" w:hAnsi="Gandhi Sans" w:cs="Arial"/>
                <w:b/>
                <w:bCs/>
                <w:color w:val="FF0000"/>
                <w:spacing w:val="-1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4967C2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HORAS TO</w:t>
            </w:r>
            <w:r w:rsidR="006D46E9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06900" w:rsidRDefault="004967C2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AB5DF6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C27F66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4967C2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6D46E9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</w:rPr>
            </w:pP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</w:p>
        </w:tc>
      </w:tr>
      <w:tr w:rsidR="00813B97" w:rsidRPr="00B06900" w:rsidTr="00AB5DF6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spacing w:val="-1"/>
                <w:sz w:val="2"/>
                <w:szCs w:val="18"/>
              </w:rPr>
            </w:pPr>
          </w:p>
        </w:tc>
      </w:tr>
      <w:tr w:rsidR="00813B97" w:rsidRPr="00B06900" w:rsidTr="00AB5DF6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Gandhi Sans" w:eastAsia="Times New Roman" w:hAnsi="Gandhi Sans" w:cs="Arial"/>
                <w:sz w:val="18"/>
                <w:szCs w:val="18"/>
              </w:rPr>
            </w:pPr>
          </w:p>
        </w:tc>
      </w:tr>
      <w:tr w:rsidR="00813B97" w:rsidRPr="00B06900" w:rsidTr="00AB5DF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ndhi Sans" w:eastAsia="Times New Roman" w:hAnsi="Gandhi Sans" w:cs="Arial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  <w:t>CARACTERIZACIÓN DE LA UNIDAD DE APENDIZAJE</w:t>
            </w:r>
          </w:p>
        </w:tc>
      </w:tr>
      <w:tr w:rsidR="00813B97" w:rsidRPr="00B06900" w:rsidTr="00AB5DF6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4967C2" w:rsidP="00AB5D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TIPO DE CONOCIMIENTO:  (  X</w:t>
            </w:r>
            <w:r w:rsidR="00813B97"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) Disciplinaria   (    ) Formativa   (    ) Metodológica</w:t>
            </w:r>
          </w:p>
        </w:tc>
      </w:tr>
      <w:tr w:rsidR="00813B97" w:rsidRPr="00B06900" w:rsidTr="00AB5DF6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00D" w:rsidRDefault="00813B97" w:rsidP="00AB5D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ÁREA DE ORGANIZACIÓN CURRICULAR:   (    ) General  (    ) Básica común   (     )  Básica disciplinar   </w:t>
            </w:r>
            <w:r w:rsidR="0063200D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      </w:t>
            </w:r>
          </w:p>
          <w:p w:rsidR="00813B97" w:rsidRPr="00B06900" w:rsidRDefault="0063200D" w:rsidP="00AB5D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       </w:t>
            </w:r>
            <w:r w:rsidR="00813B97"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(  </w:t>
            </w:r>
            <w:r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X</w:t>
            </w:r>
            <w:r w:rsidR="00813B97"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)  Profundización </w:t>
            </w:r>
          </w:p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B06900" w:rsidTr="00AB5DF6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AB5DF6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MODALIDAD DE </w:t>
            </w:r>
            <w:r w:rsidR="0063200D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ABORDAR EL CONOCIMIENTO:    (  X</w:t>
            </w: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) Curso   (     ) Taller   (    ) Laboratorio   (     ) Seminario</w:t>
            </w:r>
          </w:p>
        </w:tc>
      </w:tr>
      <w:tr w:rsidR="00813B97" w:rsidRPr="00B06900" w:rsidTr="00AB5DF6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B06900" w:rsidRDefault="00813B97" w:rsidP="0063200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CARÁCTER DE LA UNIDAD DE APREND</w:t>
            </w:r>
            <w:r w:rsidR="004967C2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IZAJE:  (    ) Obligatoria   ( </w:t>
            </w: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</w:t>
            </w:r>
            <w:r w:rsidR="004967C2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X ) </w:t>
            </w:r>
            <w:proofErr w:type="spellStart"/>
            <w:r w:rsidR="004967C2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>Recursable</w:t>
            </w:r>
            <w:proofErr w:type="spellEnd"/>
            <w:r w:rsidR="004967C2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 (   </w:t>
            </w: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) Optativa   ( </w:t>
            </w:r>
            <w:r w:rsidR="004967C2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X ) Selectiva  ( </w:t>
            </w:r>
            <w:r w:rsidRPr="00B06900">
              <w:rPr>
                <w:rFonts w:ascii="Gandhi Sans" w:eastAsia="Times New Roman" w:hAnsi="Gandhi Sans" w:cs="Arial"/>
                <w:bCs/>
                <w:spacing w:val="-1"/>
                <w:sz w:val="18"/>
                <w:szCs w:val="18"/>
              </w:rPr>
              <w:t xml:space="preserve"> ) Acreditable</w:t>
            </w:r>
          </w:p>
        </w:tc>
      </w:tr>
    </w:tbl>
    <w:p w:rsidR="00FF7E03" w:rsidRDefault="00FF7E03"/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C27F66" w:rsidRPr="00B06900" w:rsidTr="00AB5DF6">
        <w:trPr>
          <w:jc w:val="center"/>
        </w:trPr>
        <w:tc>
          <w:tcPr>
            <w:tcW w:w="5000" w:type="pct"/>
            <w:shd w:val="clear" w:color="auto" w:fill="5B9BD5" w:themeFill="accent5"/>
            <w:vAlign w:val="center"/>
          </w:tcPr>
          <w:p w:rsidR="00C27F66" w:rsidRPr="00B06900" w:rsidRDefault="00C27F66" w:rsidP="00AB5DF6">
            <w:pPr>
              <w:spacing w:after="0" w:line="360" w:lineRule="auto"/>
              <w:jc w:val="center"/>
              <w:rPr>
                <w:rFonts w:ascii="Gandhi Sans" w:hAnsi="Gandhi Sans" w:cs="Times New Roman"/>
                <w:color w:val="FFFFFF" w:themeColor="background1"/>
                <w:sz w:val="20"/>
                <w:lang w:eastAsia="en-US"/>
              </w:rPr>
            </w:pP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PERFIL DEL DOCENTE</w:t>
            </w:r>
          </w:p>
        </w:tc>
      </w:tr>
      <w:tr w:rsidR="00C27F66" w:rsidRPr="00B06900" w:rsidTr="00AB5DF6">
        <w:trPr>
          <w:trHeight w:val="230"/>
          <w:jc w:val="center"/>
        </w:trPr>
        <w:tc>
          <w:tcPr>
            <w:tcW w:w="5000" w:type="pct"/>
            <w:vAlign w:val="center"/>
          </w:tcPr>
          <w:p w:rsidR="00C27F66" w:rsidRDefault="00C27F66" w:rsidP="00AB5DF6">
            <w:pPr>
              <w:spacing w:before="240" w:line="240" w:lineRule="auto"/>
              <w:jc w:val="both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Para la impartición de esta unidad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de aprendizaje</w:t>
            </w: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 xml:space="preserve"> se sugiere la participación de profesionales con estudios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mínimos de licenciatura en áreas disciplinarias del campo de la Educación, o de las Ciencias de la Educación, o de la Pedagogía o Psicopedagogía, que cuente con saberes y experiencias</w:t>
            </w:r>
            <w:r w:rsidR="007264C2">
              <w:rPr>
                <w:rFonts w:ascii="Gandhi Sans" w:eastAsia="Times New Roman" w:hAnsi="Gandhi Sans" w:cs="Arial"/>
                <w:bCs/>
                <w:spacing w:val="-1"/>
              </w:rPr>
              <w:t xml:space="preserve"> profesionales y laborales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en el área de la Orientación Educativa</w:t>
            </w:r>
            <w:r w:rsidR="00996B3B">
              <w:rPr>
                <w:rFonts w:ascii="Gandhi Sans" w:eastAsia="Times New Roman" w:hAnsi="Gandhi Sans" w:cs="Arial"/>
                <w:bCs/>
                <w:spacing w:val="-1"/>
              </w:rPr>
              <w:t xml:space="preserve"> (</w:t>
            </w:r>
            <w:r w:rsidR="007264C2">
              <w:rPr>
                <w:rFonts w:ascii="Gandhi Sans" w:eastAsia="Times New Roman" w:hAnsi="Gandhi Sans" w:cs="Arial"/>
                <w:bCs/>
                <w:spacing w:val="-1"/>
              </w:rPr>
              <w:t xml:space="preserve">sea académica, vocacional, profesional o </w:t>
            </w:r>
            <w:proofErr w:type="spellStart"/>
            <w:r w:rsidR="007264C2">
              <w:rPr>
                <w:rFonts w:ascii="Gandhi Sans" w:eastAsia="Times New Roman" w:hAnsi="Gandhi Sans" w:cs="Arial"/>
                <w:bCs/>
                <w:spacing w:val="-1"/>
              </w:rPr>
              <w:t>sociolaboral</w:t>
            </w:r>
            <w:proofErr w:type="spellEnd"/>
            <w:r w:rsidR="007264C2">
              <w:rPr>
                <w:rFonts w:ascii="Gandhi Sans" w:eastAsia="Times New Roman" w:hAnsi="Gandhi Sans" w:cs="Arial"/>
                <w:bCs/>
                <w:spacing w:val="-1"/>
              </w:rPr>
              <w:t>)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>, desarrolladas en el ámbito de la educación formal, no formal e informal.</w:t>
            </w:r>
          </w:p>
          <w:p w:rsidR="007264C2" w:rsidRPr="00C25DD4" w:rsidRDefault="00C27F66" w:rsidP="007264C2">
            <w:pPr>
              <w:spacing w:before="240" w:line="240" w:lineRule="auto"/>
              <w:jc w:val="both"/>
              <w:rPr>
                <w:rFonts w:ascii="Gandhi Sans" w:hAnsi="Gandhi Sans" w:cs="Times New Roman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Es recomendable que el docente a cargo de esta UDA cuente con </w:t>
            </w:r>
            <w:r w:rsidR="007264C2" w:rsidRPr="00C25DD4">
              <w:rPr>
                <w:rFonts w:ascii="Gandhi Sans" w:hAnsi="Gandhi Sans" w:cs="Times New Roman"/>
              </w:rPr>
              <w:t xml:space="preserve">las siguientes </w:t>
            </w:r>
            <w:r w:rsidR="007264C2" w:rsidRPr="00C25DD4">
              <w:rPr>
                <w:rFonts w:ascii="Gandhi Sans" w:hAnsi="Gandhi Sans" w:cs="Times New Roman"/>
              </w:rPr>
              <w:lastRenderedPageBreak/>
              <w:t>competencias genéricas: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CG1. Actúa bajo los principios de libertad, respeto, responsabilidad social y justicia que promueven una actuación íntegra en su desempeño profesional.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CG2. Se comunica de manera oral, escrita y digital en español y en una lengua extranjera para ampliar sus redes académicas, sociales y profesionales, lo cual le permite adquirir una perspectiva internacional.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CG3. Maneja de forma responsable y ética las tecnologías de la información en sus procesos académicos y profesionales.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CG5. Elige y practica estilos de vida saludables que le permitan un desempeño académico y profesional equilibrado.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7264C2" w:rsidRPr="00C25DD4" w:rsidRDefault="007264C2" w:rsidP="00996B3B">
            <w:pPr>
              <w:spacing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CG7. Es sensible al arte y participa en la apreciación e interpretación de sus expresiones en distintos géneros que promuevan su formación integral. </w:t>
            </w:r>
          </w:p>
          <w:p w:rsidR="007264C2" w:rsidRDefault="007264C2" w:rsidP="00996B3B">
            <w:pPr>
              <w:spacing w:before="240" w:line="240" w:lineRule="auto"/>
              <w:jc w:val="both"/>
              <w:rPr>
                <w:rStyle w:val="A4"/>
                <w:rFonts w:ascii="Gandhi Sans" w:hAnsi="Gandhi Sans" w:cs="Times New Roman"/>
                <w:sz w:val="22"/>
                <w:szCs w:val="22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>CG8. Se vincula con el entorno e involucra al estudiante en actividades de familiarización e interacción en su campo de formación, sea mediante la extensión o la investigación para la formación de su perfil profesional</w:t>
            </w:r>
            <w:r>
              <w:rPr>
                <w:rStyle w:val="A4"/>
                <w:rFonts w:ascii="Gandhi Sans" w:hAnsi="Gandhi Sans" w:cs="Times New Roman"/>
                <w:sz w:val="22"/>
                <w:szCs w:val="22"/>
              </w:rPr>
              <w:t>.</w:t>
            </w:r>
          </w:p>
          <w:p w:rsidR="007264C2" w:rsidRPr="00C25DD4" w:rsidRDefault="007264C2" w:rsidP="00996B3B">
            <w:pPr>
              <w:spacing w:line="240" w:lineRule="auto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Fonts w:ascii="Gandhi Sans" w:hAnsi="Gandhi Sans" w:cs="Times New Roman"/>
              </w:rPr>
              <w:t>Así mismo, atendiendo a su papel como docente y principal guía para el aprendizaje de los estudiantes, se caracteriza por las siguientes competencias específicas: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Style w:val="A4"/>
                <w:rFonts w:ascii="Gandhi Sans" w:hAnsi="Gandhi Sans" w:cs="Times New Roman"/>
                <w:sz w:val="22"/>
                <w:szCs w:val="22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CE1. 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CE2. Reflexiona sobre su práctica docente e incorpora elementos innovadores que contribuyan a su mejora continua.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CE3. Orienta congruentemente al estudiante en su formación, dentro y fuera del aula, mediante la tutoría permanente.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CE4. Diseña y emplea diferentes ambientes, herramientas y recursos didácticos para promover en los estudiantes el aprendizaje de contenidos disciplinares.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CE5. Planifica los procesos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CE6. Promueve y planifica el trabajo autónomo del estudiante haciendo uso de metodologías de aprendizaje innovadoras para fortalecer su formación integral. </w:t>
            </w:r>
          </w:p>
          <w:p w:rsidR="007264C2" w:rsidRPr="00C25DD4" w:rsidRDefault="007264C2" w:rsidP="00996B3B">
            <w:pPr>
              <w:spacing w:line="240" w:lineRule="auto"/>
              <w:ind w:left="567" w:hanging="567"/>
              <w:jc w:val="both"/>
              <w:rPr>
                <w:rFonts w:ascii="Gandhi Sans" w:hAnsi="Gandhi Sans" w:cs="Times New Roman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CE7. Maneja de forma reflexiva y crítica las herramientas tecnológicas en la enseñanza para promover el desarrollo de las competencias genéricas y específicas del estudiante. </w:t>
            </w:r>
          </w:p>
          <w:p w:rsidR="00AB5DF6" w:rsidRDefault="007264C2" w:rsidP="00996B3B">
            <w:pPr>
              <w:spacing w:line="240" w:lineRule="auto"/>
              <w:ind w:left="567" w:hanging="567"/>
              <w:jc w:val="both"/>
              <w:rPr>
                <w:rStyle w:val="A4"/>
                <w:rFonts w:ascii="Gandhi Sans" w:hAnsi="Gandhi Sans" w:cs="Times New Roman"/>
                <w:sz w:val="22"/>
                <w:szCs w:val="22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>CE8. Planifica el proceso de evaluación del desempeño académico de los estudiantes, atendiendo a los diversos perfiles, mediante el diseño de los instrumen</w:t>
            </w:r>
            <w:r w:rsidR="00D5087F">
              <w:rPr>
                <w:rStyle w:val="A4"/>
                <w:rFonts w:ascii="Gandhi Sans" w:hAnsi="Gandhi Sans" w:cs="Times New Roman"/>
                <w:sz w:val="22"/>
                <w:szCs w:val="22"/>
              </w:rPr>
              <w:t xml:space="preserve">tos apropiados </w:t>
            </w:r>
            <w:r w:rsidR="00D5087F">
              <w:rPr>
                <w:rStyle w:val="A4"/>
                <w:rFonts w:ascii="Gandhi Sans" w:hAnsi="Gandhi Sans" w:cs="Times New Roman"/>
                <w:sz w:val="22"/>
                <w:szCs w:val="22"/>
              </w:rPr>
              <w:lastRenderedPageBreak/>
              <w:t xml:space="preserve">a los diferentes tipos de evaluación (diagnóstica, continua y </w:t>
            </w:r>
            <w:proofErr w:type="spellStart"/>
            <w:r w:rsidR="00D5087F">
              <w:rPr>
                <w:rStyle w:val="A4"/>
                <w:rFonts w:ascii="Gandhi Sans" w:hAnsi="Gandhi Sans" w:cs="Times New Roman"/>
                <w:sz w:val="22"/>
                <w:szCs w:val="22"/>
              </w:rPr>
              <w:t>sumativa</w:t>
            </w:r>
            <w:proofErr w:type="spellEnd"/>
            <w:r w:rsidR="00D5087F">
              <w:rPr>
                <w:rStyle w:val="A4"/>
                <w:rFonts w:ascii="Gandhi Sans" w:hAnsi="Gandhi Sans" w:cs="Times New Roman"/>
                <w:sz w:val="22"/>
                <w:szCs w:val="22"/>
              </w:rPr>
              <w:t>).</w:t>
            </w:r>
          </w:p>
          <w:p w:rsidR="00C27F66" w:rsidRPr="00D5087F" w:rsidRDefault="007264C2" w:rsidP="00D5087F">
            <w:pPr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Style w:val="A4"/>
                <w:rFonts w:ascii="Gandhi Sans" w:hAnsi="Gandhi Sans" w:cs="Times New Roman"/>
                <w:sz w:val="22"/>
                <w:szCs w:val="22"/>
              </w:rPr>
              <w:t>CE9. Domina y utiliza diversas posturas pedagógicas que le permiten utilizar metodologías en función de los diversos perfiles de estudiantes, que promuevan la construcción de su propio conocimiento</w:t>
            </w:r>
            <w:r w:rsidR="00D5087F">
              <w:rPr>
                <w:rStyle w:val="A4"/>
                <w:rFonts w:ascii="Gandhi Sans" w:hAnsi="Gandhi Sans" w:cs="Times New Roman"/>
                <w:sz w:val="22"/>
                <w:szCs w:val="22"/>
              </w:rPr>
              <w:t>.</w:t>
            </w:r>
          </w:p>
        </w:tc>
      </w:tr>
    </w:tbl>
    <w:p w:rsidR="00913D33" w:rsidRDefault="00913D33" w:rsidP="00913D33"/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D5087F" w:rsidRPr="00B06900" w:rsidTr="00F218FA">
        <w:trPr>
          <w:jc w:val="center"/>
        </w:trPr>
        <w:tc>
          <w:tcPr>
            <w:tcW w:w="5000" w:type="pct"/>
            <w:shd w:val="clear" w:color="auto" w:fill="5B9BD5" w:themeFill="accent5"/>
            <w:vAlign w:val="center"/>
          </w:tcPr>
          <w:p w:rsidR="00D5087F" w:rsidRPr="00B06900" w:rsidRDefault="00D5087F" w:rsidP="00F218FA">
            <w:pPr>
              <w:spacing w:after="0" w:line="240" w:lineRule="auto"/>
              <w:jc w:val="center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CONTRIBUCIÓN DE LA UNIDAD DE APRENDIZAJE  AL PERFIL D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E EGRESO DEL PROGRAMA EDUCATIVO</w:t>
            </w:r>
          </w:p>
        </w:tc>
      </w:tr>
      <w:tr w:rsidR="00D5087F" w:rsidRPr="00B06900" w:rsidTr="00F218FA">
        <w:trPr>
          <w:jc w:val="center"/>
        </w:trPr>
        <w:tc>
          <w:tcPr>
            <w:tcW w:w="5000" w:type="pct"/>
          </w:tcPr>
          <w:p w:rsidR="00D5087F" w:rsidRDefault="00D5087F" w:rsidP="00495A7E">
            <w:pPr>
              <w:spacing w:before="240" w:after="0" w:line="240" w:lineRule="auto"/>
              <w:jc w:val="both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La unidad de Aprendizaje incide de manera directa en la formación de la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>s</w:t>
            </w: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 xml:space="preserve"> competencia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>s</w:t>
            </w: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 xml:space="preserve"> genérica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>s</w:t>
            </w:r>
            <w:r w:rsidR="00495A7E">
              <w:rPr>
                <w:rFonts w:ascii="Gandhi Sans" w:eastAsia="Times New Roman" w:hAnsi="Gandhi Sans" w:cs="Arial"/>
                <w:bCs/>
                <w:spacing w:val="-1"/>
              </w:rPr>
              <w:t xml:space="preserve"> institucionales:</w:t>
            </w: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CG2. Sustenta una postura personal sobre temas de interés y relevancia general, considerando otros puntos de vista de manera crítica y reflexiva.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D5087F" w:rsidRPr="006D46E9" w:rsidRDefault="00D5087F" w:rsidP="00F218FA">
            <w:pPr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</w:rPr>
            </w:pPr>
          </w:p>
          <w:p w:rsidR="00D5087F" w:rsidRDefault="00D5087F" w:rsidP="00495A7E">
            <w:pPr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Además, contribuye a la competencia específica del programa:</w:t>
            </w:r>
          </w:p>
          <w:p w:rsidR="005A671D" w:rsidRDefault="005A671D" w:rsidP="00495A7E">
            <w:pPr>
              <w:spacing w:after="0" w:line="240" w:lineRule="auto"/>
              <w:rPr>
                <w:rFonts w:ascii="Gandhi Sans" w:eastAsia="Times New Roman" w:hAnsi="Gandhi Sans" w:cs="Arial"/>
                <w:bCs/>
                <w:spacing w:val="-1"/>
              </w:rPr>
            </w:pPr>
          </w:p>
          <w:p w:rsidR="005A671D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 xml:space="preserve">CE2. Diseña y </w:t>
            </w:r>
            <w:proofErr w:type="spellStart"/>
            <w:r w:rsidRPr="00C25DD4">
              <w:rPr>
                <w:rFonts w:ascii="Gandhi Sans" w:eastAsia="Times New Roman" w:hAnsi="Gandhi Sans" w:cs="Times New Roman"/>
              </w:rPr>
              <w:t>operacionaliza</w:t>
            </w:r>
            <w:proofErr w:type="spellEnd"/>
            <w:r w:rsidRPr="00C25DD4">
              <w:rPr>
                <w:rFonts w:ascii="Gandhi Sans" w:eastAsia="Times New Roman" w:hAnsi="Gandhi Sans" w:cs="Times New Roman"/>
              </w:rPr>
              <w:t xml:space="preserve"> estrategias de enseñanza y aprendizaje según contextos.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CE3. Proyecta y desarrolla acciones educativas de carácter interdisciplinario.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CE4. Identifica y gestiona apoyos para atender necesidades educativas específicas en diferentes contextos.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CE6. Crea y evalúa ambientes favorables y desafiantes para el aprendizaje.</w:t>
            </w:r>
          </w:p>
          <w:p w:rsidR="00495A7E" w:rsidRPr="00C25DD4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Pr="00C25DD4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CE7. Desarrolla el pensamiento lógico, crítico y creativo de los educandos.</w:t>
            </w: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Pr="00C25DD4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CE14. Orienta y facilita con acciones educativas los procesos de cambio en la comunidad.</w:t>
            </w: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Pr="00C25DD4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CE16. Genera e implementa estrategias educativas que respondan a la diversidad socio – cultural.</w:t>
            </w:r>
          </w:p>
          <w:p w:rsidR="00495A7E" w:rsidRDefault="00495A7E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5A671D" w:rsidRPr="00C25DD4" w:rsidRDefault="005A671D" w:rsidP="00495A7E">
            <w:pPr>
              <w:spacing w:after="0" w:line="24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CE18. Interactúa social y educativamente con diferentes actores de la comunidad para favorecer los procesos de desarrollo.</w:t>
            </w:r>
          </w:p>
          <w:p w:rsidR="00D5087F" w:rsidRPr="00996B9F" w:rsidRDefault="00D5087F" w:rsidP="00F218FA">
            <w:pPr>
              <w:spacing w:line="240" w:lineRule="auto"/>
              <w:rPr>
                <w:rFonts w:ascii="Gandhi Sans" w:eastAsia="Times New Roman" w:hAnsi="Gandhi Sans" w:cs="Arial"/>
                <w:b/>
                <w:bCs/>
                <w:spacing w:val="-1"/>
                <w:sz w:val="18"/>
                <w:szCs w:val="18"/>
              </w:rPr>
            </w:pPr>
          </w:p>
        </w:tc>
      </w:tr>
    </w:tbl>
    <w:p w:rsidR="00D5087F" w:rsidRDefault="00D5087F" w:rsidP="00D5087F">
      <w:pPr>
        <w:spacing w:before="300" w:after="0"/>
        <w:rPr>
          <w:rFonts w:ascii="Gandhi Serif" w:hAnsi="Gandhi Serif"/>
        </w:rPr>
      </w:pPr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76586A" w:rsidRPr="00B06900" w:rsidTr="00F218F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bCs/>
                <w:color w:val="FFFFFF" w:themeColor="background1"/>
                <w:spacing w:val="-1"/>
                <w:sz w:val="18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CONTEXTUA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LIZACIÓN EN EL PLAN DE ESTUDIOS</w:t>
            </w:r>
          </w:p>
        </w:tc>
      </w:tr>
      <w:tr w:rsidR="0076586A" w:rsidRPr="00B06900" w:rsidTr="00F218FA">
        <w:trPr>
          <w:jc w:val="center"/>
        </w:trPr>
        <w:tc>
          <w:tcPr>
            <w:tcW w:w="5000" w:type="pct"/>
            <w:gridSpan w:val="2"/>
          </w:tcPr>
          <w:p w:rsidR="0076586A" w:rsidRDefault="0076586A" w:rsidP="00F218FA">
            <w:pPr>
              <w:spacing w:line="240" w:lineRule="auto"/>
              <w:rPr>
                <w:rFonts w:ascii="Gandhi Sans" w:eastAsia="Times New Roman" w:hAnsi="Gandhi Sans" w:cs="Arial"/>
                <w:bCs/>
                <w:spacing w:val="-1"/>
              </w:rPr>
            </w:pPr>
          </w:p>
          <w:p w:rsidR="0076586A" w:rsidRDefault="0076586A" w:rsidP="00F218FA">
            <w:pPr>
              <w:spacing w:line="240" w:lineRule="auto"/>
              <w:jc w:val="both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La importancia de esta unidad de aprendizaje reside en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que, el estudiante, podrá conocer que la orientación educativa es un servicio de acompañamiento y apoyo que se puede brindar a todo estudiante que se encuentre dentro del ámbito escolar de cualquier nivel educativo, que puede ser innovador y generar transformaciones que beneficien los procesos de enseñanza-aprendizaje, de convivencia y desarrollo integral; pero también, es un área que requiere ser redefinida ante la complejidad de un mundo en continua transformación y puede ampliar su campo de intervención hacia otros grupos de personas, contextos educativos y sociales, en el que se encuentren personas interesadas en dar continuidad a su formación durante su vida, independientemente de la etapa del ciclo vital en el que se encuentre.</w:t>
            </w:r>
          </w:p>
          <w:p w:rsidR="0076586A" w:rsidRDefault="0076586A" w:rsidP="00F218FA">
            <w:pPr>
              <w:spacing w:line="240" w:lineRule="auto"/>
              <w:jc w:val="both"/>
              <w:rPr>
                <w:rFonts w:ascii="Gandhi Sans" w:eastAsia="Times New Roman" w:hAnsi="Gandhi Sans" w:cs="Arial"/>
                <w:bCs/>
                <w:spacing w:val="-1"/>
              </w:rPr>
            </w:pP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>Esta unidad de aprendizaje se caracteriza porque proporciona al estudiante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conocimientos que le permitan </w:t>
            </w:r>
            <w:r w:rsidRPr="00A86EF7">
              <w:rPr>
                <w:rFonts w:ascii="Gandhi Sans" w:hAnsi="Gandhi Sans" w:cs="Arial"/>
              </w:rPr>
              <w:t>identificar las transformaciones recientes que se han suscitado en el área de la Orientación Educativa, derivadas de los constantes y complejos cambios en la realidad social, así como las aportaciones generadas para brindar un acompañamiento pertinente a los educandos a lo largo de la vida con el fin de promover su desarrollo integral</w:t>
            </w:r>
            <w:r>
              <w:rPr>
                <w:rFonts w:ascii="Gandhi Sans" w:hAnsi="Gandhi Sans" w:cs="Arial"/>
              </w:rPr>
              <w:t>.</w:t>
            </w:r>
          </w:p>
          <w:p w:rsidR="0076586A" w:rsidRDefault="0076586A" w:rsidP="00F218FA">
            <w:pPr>
              <w:spacing w:line="240" w:lineRule="auto"/>
              <w:jc w:val="both"/>
              <w:rPr>
                <w:rFonts w:ascii="Gandhi Sans" w:eastAsia="Times New Roman" w:hAnsi="Gandhi Sans" w:cs="Arial"/>
                <w:bCs/>
                <w:spacing w:val="-1"/>
              </w:rPr>
            </w:pPr>
            <w:r>
              <w:rPr>
                <w:rFonts w:ascii="Gandhi Sans" w:eastAsia="Times New Roman" w:hAnsi="Gandhi Sans" w:cs="Arial"/>
                <w:bCs/>
                <w:spacing w:val="-1"/>
              </w:rPr>
              <w:t>Esta UDA se imparte en el octavo</w:t>
            </w:r>
            <w:r w:rsidRPr="006D46E9">
              <w:rPr>
                <w:rFonts w:ascii="Gandhi Sans" w:eastAsia="Times New Roman" w:hAnsi="Gandhi Sans" w:cs="Arial"/>
                <w:bCs/>
                <w:spacing w:val="-1"/>
              </w:rPr>
              <w:t xml:space="preserve"> semestre y se relaciona con las unidades de aprendizaje</w:t>
            </w:r>
            <w:r>
              <w:rPr>
                <w:rFonts w:ascii="Gandhi Sans" w:eastAsia="Times New Roman" w:hAnsi="Gandhi Sans" w:cs="Arial"/>
                <w:bCs/>
                <w:spacing w:val="-1"/>
              </w:rPr>
              <w:t xml:space="preserve"> de: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</w:pP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Orientación Educativa en el c</w:t>
            </w:r>
            <w:r w:rsidRPr="008172FE"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 xml:space="preserve">ontexto </w:t>
            </w: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i</w:t>
            </w:r>
            <w:r w:rsidRPr="008172FE"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nstitucional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</w:pP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Génesis y desarrollo de la orientación educativa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</w:pP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Proceso de orientación educativa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</w:pP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Programas preventivos y técnicas de intervención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</w:pPr>
            <w:r>
              <w:rPr>
                <w:rFonts w:ascii="Gandhi Sans" w:hAnsi="Gandhi Sans" w:cs="Arial"/>
                <w:bCs/>
                <w:spacing w:val="-1"/>
                <w:sz w:val="22"/>
                <w:szCs w:val="22"/>
              </w:rPr>
              <w:t>Enfoques socioeconómicos de la orientación educativa</w:t>
            </w:r>
          </w:p>
          <w:p w:rsidR="0076586A" w:rsidRPr="00996B9F" w:rsidRDefault="0076586A" w:rsidP="00F218FA">
            <w:pPr>
              <w:spacing w:line="240" w:lineRule="auto"/>
              <w:rPr>
                <w:rFonts w:ascii="Gandhi Sans" w:eastAsia="Times New Roman" w:hAnsi="Gandhi Sans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76586A" w:rsidRPr="00B06900" w:rsidTr="00F218F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COMPETENC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IAS DE LA UNIDAD DE APRENDIZAJE</w:t>
            </w:r>
          </w:p>
        </w:tc>
      </w:tr>
      <w:tr w:rsidR="0076586A" w:rsidRPr="00B06900" w:rsidTr="00F218FA">
        <w:trPr>
          <w:jc w:val="center"/>
        </w:trPr>
        <w:tc>
          <w:tcPr>
            <w:tcW w:w="5000" w:type="pct"/>
            <w:gridSpan w:val="2"/>
            <w:vAlign w:val="center"/>
          </w:tcPr>
          <w:p w:rsidR="0076586A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  <w:lang w:val="es-ES_tradnl"/>
              </w:rPr>
            </w:pPr>
            <w:r>
              <w:rPr>
                <w:rFonts w:ascii="Gandhi Sans" w:eastAsia="Times New Roman" w:hAnsi="Gandhi Sans" w:cs="Times New Roman"/>
                <w:lang w:val="es-ES_tradnl"/>
              </w:rPr>
              <w:t>Competencias genéricas:</w:t>
            </w:r>
          </w:p>
          <w:p w:rsidR="0076586A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CG2. Sustenta una postura personal sobre temas de interés y relevancia general, considerando otros puntos de vista de manera crítica y reflexiva.</w:t>
            </w:r>
          </w:p>
          <w:p w:rsidR="0076586A" w:rsidRPr="00C25DD4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</w:rPr>
            </w:pPr>
          </w:p>
          <w:p w:rsidR="0076586A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76586A" w:rsidRPr="00C25DD4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</w:p>
          <w:p w:rsidR="0076586A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  <w:r w:rsidRPr="00C25DD4">
              <w:rPr>
                <w:rFonts w:ascii="Gandhi Sans" w:hAnsi="Gandhi Sans" w:cs="Times New Roman"/>
                <w:color w:val="00000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76586A" w:rsidRPr="00C25DD4" w:rsidRDefault="0076586A" w:rsidP="00F218FA">
            <w:pPr>
              <w:spacing w:after="0" w:line="240" w:lineRule="auto"/>
              <w:ind w:left="709" w:hanging="709"/>
              <w:jc w:val="both"/>
              <w:rPr>
                <w:rFonts w:ascii="Gandhi Sans" w:hAnsi="Gandhi Sans" w:cs="Times New Roman"/>
                <w:color w:val="000000"/>
              </w:rPr>
            </w:pPr>
          </w:p>
          <w:p w:rsidR="0076586A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  <w:lang w:val="es-ES_tradnl"/>
              </w:rPr>
            </w:pPr>
            <w:r w:rsidRPr="00C25DD4">
              <w:rPr>
                <w:rFonts w:ascii="Gandhi Sans" w:hAnsi="Gandhi Sans" w:cs="Times New Roman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</w:t>
            </w:r>
          </w:p>
          <w:p w:rsidR="0076586A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  <w:lang w:val="es-ES_tradnl"/>
              </w:rPr>
            </w:pPr>
          </w:p>
          <w:p w:rsidR="0076586A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  <w:lang w:val="es-ES_tradnl"/>
              </w:rPr>
            </w:pPr>
            <w:r>
              <w:rPr>
                <w:rFonts w:ascii="Gandhi Sans" w:eastAsia="Times New Roman" w:hAnsi="Gandhi Sans" w:cs="Times New Roman"/>
                <w:lang w:val="es-ES_tradnl"/>
              </w:rPr>
              <w:t>Competencias específicas de la Licenciatura en Educación: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CE3. Proyecta y desarrolla acciones educativas de carácter interdisciplinario.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CE4. Identifica y gestiona apoyos para atender necesidades educativas específicas en diferentes contextos.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CE5CE6. Crea y evalúa ambientes favorables y desafiantes para el aprendizaje.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CE7. Desarrolla el pensamiento lógico, crítico y creativo de los educandos.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CE10. Educa en valores, en formación ciudadana y en democracia.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CE13. Conoce la teoría educativa y hace uso crítico de ella en diferentes contextos.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CE14. Orienta y facilita con acciones educativas los procesos de cambio en la comunidad.</w:t>
            </w:r>
          </w:p>
          <w:p w:rsidR="0076586A" w:rsidRPr="00C25DD4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CE16. Genera e implementa estrategias educativas que respondan a la diversidad socio – cultural.</w:t>
            </w:r>
          </w:p>
          <w:p w:rsidR="0076586A" w:rsidRPr="0066403A" w:rsidRDefault="0076586A" w:rsidP="00F218FA">
            <w:pPr>
              <w:spacing w:after="0" w:line="360" w:lineRule="auto"/>
              <w:ind w:left="709" w:hanging="709"/>
              <w:jc w:val="both"/>
              <w:rPr>
                <w:rFonts w:ascii="Gandhi Sans" w:eastAsia="Times New Roman" w:hAnsi="Gandhi Sans" w:cs="Times New Roman"/>
              </w:rPr>
            </w:pPr>
            <w:r w:rsidRPr="00C25DD4">
              <w:rPr>
                <w:rFonts w:ascii="Gandhi Sans" w:eastAsia="Times New Roman" w:hAnsi="Gandhi Sans" w:cs="Times New Roman"/>
              </w:rPr>
              <w:t>CE18. Interactúa social y educativamente con diferentes actores de la comunidad para favorecer los procesos de desarrollo.</w:t>
            </w:r>
          </w:p>
        </w:tc>
      </w:tr>
      <w:tr w:rsidR="0076586A" w:rsidRPr="00B06900" w:rsidTr="00F218F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lastRenderedPageBreak/>
              <w:t>CONTENI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DOS DE LA UNIDAD DE APRENDIZAJE</w:t>
            </w:r>
          </w:p>
        </w:tc>
      </w:tr>
      <w:tr w:rsidR="0076586A" w:rsidRPr="00B06900" w:rsidTr="00F218FA">
        <w:trPr>
          <w:jc w:val="center"/>
        </w:trPr>
        <w:tc>
          <w:tcPr>
            <w:tcW w:w="5000" w:type="pct"/>
            <w:gridSpan w:val="2"/>
            <w:vAlign w:val="center"/>
          </w:tcPr>
          <w:p w:rsidR="0076586A" w:rsidRDefault="0076586A" w:rsidP="00F218FA">
            <w:pPr>
              <w:spacing w:after="0" w:line="360" w:lineRule="auto"/>
              <w:jc w:val="both"/>
              <w:rPr>
                <w:rFonts w:ascii="Gandhi Sans" w:eastAsia="Times New Roman" w:hAnsi="Gandhi Sans" w:cs="Arial"/>
              </w:rPr>
            </w:pPr>
          </w:p>
          <w:p w:rsidR="0076586A" w:rsidRDefault="0076586A" w:rsidP="00F218FA">
            <w:pPr>
              <w:spacing w:after="0" w:line="360" w:lineRule="auto"/>
              <w:jc w:val="both"/>
              <w:rPr>
                <w:rFonts w:ascii="Gandhi Sans" w:eastAsia="Times New Roman" w:hAnsi="Gandhi Sans" w:cs="Arial"/>
              </w:rPr>
            </w:pPr>
            <w:r w:rsidRPr="000A03D7">
              <w:rPr>
                <w:rFonts w:ascii="Gandhi Sans" w:eastAsia="Times New Roman" w:hAnsi="Gandhi Sans" w:cs="Arial"/>
              </w:rPr>
              <w:t xml:space="preserve">Los contenidos </w:t>
            </w:r>
            <w:r>
              <w:rPr>
                <w:rFonts w:ascii="Gandhi Sans" w:eastAsia="Times New Roman" w:hAnsi="Gandhi Sans" w:cs="Arial"/>
              </w:rPr>
              <w:t>que se proponen para esta Unidad de Aprendizaje son:</w:t>
            </w:r>
          </w:p>
          <w:p w:rsidR="0076586A" w:rsidRDefault="0076586A" w:rsidP="00F218FA">
            <w:pPr>
              <w:spacing w:after="0" w:line="360" w:lineRule="auto"/>
              <w:jc w:val="both"/>
              <w:rPr>
                <w:rFonts w:ascii="Gandhi Sans" w:eastAsia="Times New Roman" w:hAnsi="Gandhi Sans" w:cs="Arial"/>
              </w:rPr>
            </w:pPr>
          </w:p>
          <w:p w:rsidR="0076586A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 w:rsidRPr="003B75DD">
              <w:rPr>
                <w:rFonts w:ascii="Gandhi Sans" w:hAnsi="Gandhi Sans" w:cs="Arial"/>
                <w:sz w:val="22"/>
                <w:szCs w:val="22"/>
              </w:rPr>
              <w:t>Introducción</w:t>
            </w:r>
            <w:r>
              <w:rPr>
                <w:rFonts w:ascii="Gandhi Sans" w:hAnsi="Gandhi Sans" w:cs="Arial"/>
                <w:sz w:val="22"/>
                <w:szCs w:val="22"/>
              </w:rPr>
              <w:t xml:space="preserve"> a la UDA</w:t>
            </w:r>
          </w:p>
          <w:p w:rsidR="0076586A" w:rsidRPr="003B75DD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>
              <w:rPr>
                <w:rFonts w:ascii="Gandhi Sans" w:hAnsi="Gandhi Sans" w:cs="Arial"/>
                <w:sz w:val="22"/>
                <w:szCs w:val="22"/>
              </w:rPr>
              <w:t>Orientación Educativa en el Contexto de la Pedagogía y las Ciencias de la Educación</w:t>
            </w:r>
            <w:r w:rsidRPr="003B75DD">
              <w:rPr>
                <w:rFonts w:ascii="Gandhi Sans" w:hAnsi="Gandhi Sans" w:cs="Arial"/>
                <w:sz w:val="22"/>
                <w:szCs w:val="22"/>
              </w:rPr>
              <w:t>.</w:t>
            </w:r>
          </w:p>
          <w:p w:rsidR="0076586A" w:rsidRPr="003B75DD" w:rsidRDefault="0076586A" w:rsidP="00F218FA">
            <w:pPr>
              <w:pStyle w:val="Prrafodelista"/>
              <w:numPr>
                <w:ilvl w:val="0"/>
                <w:numId w:val="1"/>
              </w:numPr>
              <w:spacing w:before="240"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 w:rsidRPr="003B75DD">
              <w:rPr>
                <w:rFonts w:ascii="Gandhi Sans" w:hAnsi="Gandhi Sans" w:cs="Arial"/>
                <w:sz w:val="22"/>
                <w:szCs w:val="22"/>
              </w:rPr>
              <w:t>Breve panorama histórico y situación actual de la Orientación Educativa.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>
              <w:rPr>
                <w:rFonts w:ascii="Gandhi Sans" w:hAnsi="Gandhi Sans" w:cs="Arial"/>
                <w:sz w:val="22"/>
                <w:szCs w:val="22"/>
              </w:rPr>
              <w:t>Resignificación de la orientación educativa en una época de incertidumbre y transformación.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>
              <w:rPr>
                <w:rFonts w:ascii="Gandhi Sans" w:hAnsi="Gandhi Sans" w:cs="Arial"/>
                <w:sz w:val="22"/>
                <w:szCs w:val="22"/>
              </w:rPr>
              <w:t xml:space="preserve">La orientación educativa y las </w:t>
            </w:r>
            <w:proofErr w:type="spellStart"/>
            <w:r>
              <w:rPr>
                <w:rFonts w:ascii="Gandhi Sans" w:hAnsi="Gandhi Sans" w:cs="Arial"/>
                <w:sz w:val="22"/>
                <w:szCs w:val="22"/>
              </w:rPr>
              <w:t>TICs</w:t>
            </w:r>
            <w:proofErr w:type="spellEnd"/>
          </w:p>
          <w:p w:rsidR="0076586A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>
              <w:rPr>
                <w:rFonts w:ascii="Gandhi Sans" w:hAnsi="Gandhi Sans" w:cs="Arial"/>
                <w:sz w:val="22"/>
                <w:szCs w:val="22"/>
              </w:rPr>
              <w:t>Exploración de las contribuciones de la Orientación Educativa en el contexto nacional.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>
              <w:rPr>
                <w:rFonts w:ascii="Gandhi Sans" w:hAnsi="Gandhi Sans" w:cs="Arial"/>
                <w:sz w:val="22"/>
                <w:szCs w:val="22"/>
              </w:rPr>
              <w:t>Búsqueda de las tendencias d</w:t>
            </w:r>
            <w:r w:rsidRPr="0010249F">
              <w:rPr>
                <w:rFonts w:ascii="Gandhi Sans" w:hAnsi="Gandhi Sans" w:cs="Arial"/>
                <w:sz w:val="22"/>
                <w:szCs w:val="22"/>
              </w:rPr>
              <w:t>e la Orientación Educativa en el ámbito internacional.</w:t>
            </w:r>
          </w:p>
          <w:p w:rsidR="0076586A" w:rsidRPr="00EB54D8" w:rsidRDefault="0076586A" w:rsidP="00F218FA">
            <w:pPr>
              <w:pStyle w:val="Prrafodelista"/>
              <w:numPr>
                <w:ilvl w:val="0"/>
                <w:numId w:val="1"/>
              </w:numPr>
              <w:spacing w:line="480" w:lineRule="auto"/>
              <w:ind w:left="360"/>
              <w:jc w:val="both"/>
              <w:rPr>
                <w:rFonts w:ascii="Gandhi Sans" w:hAnsi="Gandhi Sans" w:cs="Arial"/>
                <w:sz w:val="22"/>
                <w:szCs w:val="22"/>
              </w:rPr>
            </w:pPr>
            <w:r w:rsidRPr="003B75DD">
              <w:rPr>
                <w:rFonts w:ascii="Gandhi Sans" w:hAnsi="Gandhi Sans" w:cs="Arial"/>
                <w:sz w:val="22"/>
                <w:szCs w:val="22"/>
              </w:rPr>
              <w:t>Replanteamiento de la Orientación Educativa en México. Nuevas funciones</w:t>
            </w:r>
            <w:r>
              <w:rPr>
                <w:rFonts w:ascii="Gandhi Sans" w:hAnsi="Gandhi Sans" w:cs="Arial"/>
                <w:sz w:val="22"/>
                <w:szCs w:val="22"/>
              </w:rPr>
              <w:t xml:space="preserve"> y escenarios de intervención </w:t>
            </w:r>
            <w:r w:rsidRPr="003B75DD">
              <w:rPr>
                <w:rFonts w:ascii="Gandhi Sans" w:hAnsi="Gandhi Sans" w:cs="Arial"/>
                <w:sz w:val="22"/>
                <w:szCs w:val="22"/>
              </w:rPr>
              <w:t xml:space="preserve"> del orientador educativo</w:t>
            </w:r>
            <w:r>
              <w:rPr>
                <w:rFonts w:ascii="Gandhi Sans" w:hAnsi="Gandhi Sans" w:cs="Arial"/>
                <w:sz w:val="22"/>
                <w:szCs w:val="22"/>
              </w:rPr>
              <w:t>.</w:t>
            </w:r>
          </w:p>
        </w:tc>
      </w:tr>
      <w:tr w:rsidR="0076586A" w:rsidRPr="00B06900" w:rsidTr="00F218FA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24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 xml:space="preserve">ACTIVIDADES DE APRENDIZAJE 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24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RECURSOS MA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TERIALES Y DIDÁCTICOS SUGERIDOS</w:t>
            </w:r>
          </w:p>
        </w:tc>
      </w:tr>
      <w:tr w:rsidR="0076586A" w:rsidRPr="00B06900" w:rsidTr="00F218FA">
        <w:trPr>
          <w:jc w:val="center"/>
        </w:trPr>
        <w:tc>
          <w:tcPr>
            <w:tcW w:w="2613" w:type="pct"/>
            <w:vAlign w:val="center"/>
          </w:tcPr>
          <w:p w:rsidR="00E7570B" w:rsidRPr="00E7570B" w:rsidRDefault="00E7570B" w:rsidP="00E7570B">
            <w:pPr>
              <w:pStyle w:val="Prrafodelista"/>
              <w:numPr>
                <w:ilvl w:val="0"/>
                <w:numId w:val="7"/>
              </w:numPr>
              <w:rPr>
                <w:rFonts w:ascii="Gandhi Sans" w:hAnsi="Gandhi Sans" w:cs="Arial"/>
              </w:rPr>
            </w:pPr>
            <w:r w:rsidRPr="00E7570B">
              <w:rPr>
                <w:rFonts w:ascii="Gandhi Sans" w:hAnsi="Gandhi Sans" w:cs="Arial"/>
              </w:rPr>
              <w:t>Mapas cognitivos</w:t>
            </w:r>
          </w:p>
          <w:p w:rsidR="00E7570B" w:rsidRPr="00E7570B" w:rsidRDefault="00E7570B" w:rsidP="00E7570B">
            <w:pPr>
              <w:pStyle w:val="Prrafodelista"/>
              <w:numPr>
                <w:ilvl w:val="0"/>
                <w:numId w:val="7"/>
              </w:numPr>
              <w:rPr>
                <w:rFonts w:ascii="Gandhi Sans" w:hAnsi="Gandhi Sans" w:cs="Arial"/>
              </w:rPr>
            </w:pPr>
            <w:r w:rsidRPr="00E7570B">
              <w:rPr>
                <w:rFonts w:ascii="Gandhi Sans" w:hAnsi="Gandhi Sans" w:cs="Arial"/>
              </w:rPr>
              <w:t>Resúmenes</w:t>
            </w:r>
          </w:p>
          <w:p w:rsidR="00E7570B" w:rsidRDefault="00E7570B" w:rsidP="00E7570B">
            <w:pPr>
              <w:pStyle w:val="Prrafodelista"/>
              <w:numPr>
                <w:ilvl w:val="0"/>
                <w:numId w:val="7"/>
              </w:numPr>
              <w:rPr>
                <w:rFonts w:ascii="Gandhi Sans" w:hAnsi="Gandhi Sans" w:cs="Arial"/>
              </w:rPr>
            </w:pPr>
            <w:r w:rsidRPr="00E7570B">
              <w:rPr>
                <w:rFonts w:ascii="Gandhi Sans" w:hAnsi="Gandhi Sans" w:cs="Arial"/>
              </w:rPr>
              <w:t>Síntesis</w:t>
            </w:r>
          </w:p>
          <w:p w:rsidR="00E7570B" w:rsidRDefault="00E7570B" w:rsidP="00E7570B">
            <w:pPr>
              <w:pStyle w:val="Prrafodelista"/>
              <w:numPr>
                <w:ilvl w:val="0"/>
                <w:numId w:val="7"/>
              </w:numPr>
              <w:rPr>
                <w:rFonts w:ascii="Gandhi Sans" w:hAnsi="Gandhi Sans" w:cs="Arial"/>
              </w:rPr>
            </w:pPr>
            <w:r>
              <w:rPr>
                <w:rFonts w:ascii="Gandhi Sans" w:hAnsi="Gandhi Sans" w:cs="Arial"/>
              </w:rPr>
              <w:lastRenderedPageBreak/>
              <w:t>Ensayos</w:t>
            </w:r>
          </w:p>
          <w:p w:rsidR="00E7570B" w:rsidRPr="00E7570B" w:rsidRDefault="00E7570B" w:rsidP="00E7570B">
            <w:pPr>
              <w:pStyle w:val="Prrafodelista"/>
              <w:numPr>
                <w:ilvl w:val="0"/>
                <w:numId w:val="7"/>
              </w:numPr>
              <w:rPr>
                <w:rFonts w:ascii="Gandhi Sans" w:hAnsi="Gandhi Sans" w:cs="Arial"/>
              </w:rPr>
            </w:pPr>
            <w:r>
              <w:rPr>
                <w:rFonts w:ascii="Gandhi Sans" w:hAnsi="Gandhi Sans" w:cs="Arial"/>
              </w:rPr>
              <w:t>Estrategias grupales</w:t>
            </w:r>
          </w:p>
          <w:p w:rsidR="0076586A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  <w:b/>
                <w:color w:val="C45911" w:themeColor="accent2" w:themeShade="BF"/>
              </w:rPr>
            </w:pPr>
          </w:p>
          <w:p w:rsidR="0076586A" w:rsidRPr="00996B9F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  <w:b/>
                <w:color w:val="C45911" w:themeColor="accent2" w:themeShade="BF"/>
              </w:rPr>
            </w:pPr>
          </w:p>
        </w:tc>
        <w:tc>
          <w:tcPr>
            <w:tcW w:w="2387" w:type="pct"/>
            <w:vAlign w:val="center"/>
          </w:tcPr>
          <w:p w:rsidR="0076586A" w:rsidRPr="006D46E9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</w:rPr>
            </w:pPr>
          </w:p>
        </w:tc>
      </w:tr>
      <w:tr w:rsidR="0076586A" w:rsidRPr="00B06900" w:rsidTr="00F218FA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24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lastRenderedPageBreak/>
              <w:t>PRODUCTOS O EVID</w:t>
            </w: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24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SISTEMA DE EVALUACIÓN SUGERIDA</w:t>
            </w:r>
          </w:p>
        </w:tc>
      </w:tr>
      <w:tr w:rsidR="0076586A" w:rsidRPr="00B06900" w:rsidTr="00F218FA">
        <w:trPr>
          <w:jc w:val="center"/>
        </w:trPr>
        <w:tc>
          <w:tcPr>
            <w:tcW w:w="2613" w:type="pct"/>
          </w:tcPr>
          <w:p w:rsidR="0076586A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</w:rPr>
            </w:pPr>
          </w:p>
          <w:p w:rsidR="0076586A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</w:rPr>
            </w:pPr>
            <w:r>
              <w:rPr>
                <w:rFonts w:ascii="Gandhi Sans" w:eastAsia="Times New Roman" w:hAnsi="Gandhi Sans" w:cs="Arial"/>
              </w:rPr>
              <w:t xml:space="preserve">Productos concretos tales como: </w:t>
            </w:r>
          </w:p>
          <w:p w:rsidR="0076586A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</w:rPr>
            </w:pPr>
            <w:r>
              <w:rPr>
                <w:rFonts w:ascii="Gandhi Sans" w:eastAsia="Times New Roman" w:hAnsi="Gandhi Sans" w:cs="Arial"/>
              </w:rPr>
              <w:t>Mapas mentales y conceptuales, esquemas, cuadros sinópticos, trabajos de investigación, exposiciones individuales y grupales, resumen de lecturas, síntesis de artículos académicos, cuadros y trabajos comparativos, ensayos.</w:t>
            </w:r>
          </w:p>
          <w:p w:rsidR="0076586A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</w:rPr>
            </w:pPr>
          </w:p>
          <w:p w:rsidR="0076586A" w:rsidRPr="006D46E9" w:rsidRDefault="0076586A" w:rsidP="00F218FA">
            <w:pPr>
              <w:spacing w:after="0" w:line="360" w:lineRule="auto"/>
              <w:rPr>
                <w:rFonts w:ascii="Gandhi Sans" w:eastAsia="Times New Roman" w:hAnsi="Gandhi Sans" w:cs="Arial"/>
              </w:rPr>
            </w:pPr>
          </w:p>
        </w:tc>
        <w:tc>
          <w:tcPr>
            <w:tcW w:w="2387" w:type="pct"/>
          </w:tcPr>
          <w:p w:rsidR="0076586A" w:rsidRDefault="0076586A" w:rsidP="00F218FA">
            <w:pPr>
              <w:spacing w:after="0" w:line="240" w:lineRule="auto"/>
              <w:rPr>
                <w:rFonts w:ascii="Gandhi Sans" w:eastAsia="Times New Roman" w:hAnsi="Gandhi Sans" w:cs="Arial"/>
              </w:rPr>
            </w:pP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eastAsia="Times New Roman" w:hAnsi="Gandhi Sans" w:cs="Arial"/>
              </w:rPr>
            </w:pPr>
            <w:r>
              <w:rPr>
                <w:rFonts w:ascii="Gandhi Sans" w:eastAsia="Times New Roman" w:hAnsi="Gandhi Sans" w:cs="Arial"/>
              </w:rPr>
              <w:t>Se sugiere realizar una evaluación inicial, continua y final.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eastAsia="Times New Roman" w:hAnsi="Gandhi Sans" w:cs="Arial"/>
              </w:rPr>
            </w:pPr>
          </w:p>
          <w:p w:rsidR="0076586A" w:rsidRDefault="004967C2" w:rsidP="00F218FA">
            <w:pPr>
              <w:spacing w:after="0" w:line="240" w:lineRule="auto"/>
              <w:jc w:val="both"/>
              <w:rPr>
                <w:rFonts w:ascii="Gandhi Sans" w:eastAsia="Times New Roman" w:hAnsi="Gandhi Sans" w:cs="Arial"/>
              </w:rPr>
            </w:pPr>
            <w:r>
              <w:rPr>
                <w:rFonts w:ascii="Gandhi Sans" w:eastAsia="Times New Roman" w:hAnsi="Gandhi Sans" w:cs="Arial"/>
              </w:rPr>
              <w:t xml:space="preserve">Asimismo, </w:t>
            </w:r>
            <w:bookmarkStart w:id="1" w:name="_GoBack"/>
            <w:bookmarkEnd w:id="1"/>
            <w:r w:rsidR="0076586A">
              <w:rPr>
                <w:rFonts w:ascii="Gandhi Sans" w:eastAsia="Times New Roman" w:hAnsi="Gandhi Sans" w:cs="Arial"/>
              </w:rPr>
              <w:t>considerar los siguientes criterios de evaluación: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eastAsia="Times New Roman" w:hAnsi="Gandhi Sans" w:cs="Arial"/>
              </w:rPr>
            </w:pPr>
          </w:p>
          <w:p w:rsidR="0076586A" w:rsidRPr="00A86EF7" w:rsidRDefault="0076586A" w:rsidP="00F218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Gandhi Sans" w:hAnsi="Gandhi Sans" w:cs="Arial"/>
                <w:sz w:val="22"/>
                <w:szCs w:val="22"/>
                <w:lang w:val="es-MX"/>
              </w:rPr>
            </w:pP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>La participación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 continua</w:t>
            </w: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 y 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la </w:t>
            </w: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>calidad de las aportaciones.</w:t>
            </w:r>
          </w:p>
          <w:p w:rsidR="0076586A" w:rsidRPr="00A86EF7" w:rsidRDefault="0076586A" w:rsidP="00F218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Gandhi Sans" w:hAnsi="Gandhi Sans" w:cs="Arial"/>
                <w:sz w:val="22"/>
                <w:szCs w:val="22"/>
                <w:lang w:val="es-MX"/>
              </w:rPr>
            </w:pP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>El t</w:t>
            </w: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>rabajo individual y en equipos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 dentro de cada sesión.</w:t>
            </w:r>
          </w:p>
          <w:p w:rsidR="0076586A" w:rsidRDefault="0076586A" w:rsidP="00F218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Gandhi Sans" w:hAnsi="Gandhi Sans" w:cs="Arial"/>
                <w:sz w:val="22"/>
                <w:szCs w:val="22"/>
                <w:lang w:val="es-MX"/>
              </w:rPr>
            </w:pP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>La r</w:t>
            </w: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>ealización de lecturas previas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 sobre </w:t>
            </w:r>
            <w:r w:rsidRPr="00A86EF7"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los temas 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>a revisar.</w:t>
            </w:r>
          </w:p>
          <w:p w:rsidR="0076586A" w:rsidRPr="004A28F4" w:rsidRDefault="0076586A" w:rsidP="00F218F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Gandhi Sans" w:hAnsi="Gandhi Sans" w:cs="Arial"/>
              </w:rPr>
            </w:pPr>
            <w:r w:rsidRPr="004A28F4">
              <w:rPr>
                <w:rFonts w:ascii="Gandhi Sans" w:hAnsi="Gandhi Sans" w:cs="Arial"/>
                <w:sz w:val="22"/>
                <w:szCs w:val="22"/>
                <w:lang w:val="es-MX"/>
              </w:rPr>
              <w:t>El cumplimiento de tareas y trabajos programados, considerando la calidad.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 xml:space="preserve"> (S</w:t>
            </w:r>
            <w:r w:rsidRPr="004A28F4">
              <w:rPr>
                <w:rFonts w:ascii="Gandhi Sans" w:hAnsi="Gandhi Sans" w:cs="Arial"/>
                <w:sz w:val="22"/>
                <w:szCs w:val="22"/>
                <w:lang w:val="es-MX"/>
              </w:rPr>
              <w:t>e tomará en cuenta la estructura del trabajo académico, redacción, argumentos e ideas principales, aportaciones, citas, bibliografía consultada</w:t>
            </w:r>
            <w:r>
              <w:rPr>
                <w:rFonts w:ascii="Gandhi Sans" w:hAnsi="Gandhi Sans" w:cs="Arial"/>
                <w:sz w:val="22"/>
                <w:szCs w:val="22"/>
                <w:lang w:val="es-MX"/>
              </w:rPr>
              <w:t>).</w:t>
            </w:r>
          </w:p>
          <w:p w:rsidR="0076586A" w:rsidRPr="004A28F4" w:rsidRDefault="0076586A" w:rsidP="00F218FA">
            <w:pPr>
              <w:spacing w:after="0" w:line="360" w:lineRule="auto"/>
              <w:jc w:val="both"/>
              <w:rPr>
                <w:rFonts w:ascii="Gandhi Sans" w:eastAsia="Times New Roman" w:hAnsi="Gandhi Sans" w:cs="Arial"/>
              </w:rPr>
            </w:pPr>
            <w:r>
              <w:rPr>
                <w:rFonts w:ascii="Gandhi Sans" w:eastAsia="Times New Roman" w:hAnsi="Gandhi Sans" w:cs="Arial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76586A" w:rsidRPr="00B06900" w:rsidTr="00F218FA">
        <w:tc>
          <w:tcPr>
            <w:tcW w:w="5000" w:type="pct"/>
            <w:gridSpan w:val="2"/>
            <w:shd w:val="clear" w:color="auto" w:fill="5B9BD5" w:themeFill="accent5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 w:rsidRPr="00B06900"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FUENTES DE INFORMACIÓN</w:t>
            </w:r>
          </w:p>
        </w:tc>
      </w:tr>
      <w:tr w:rsidR="0076586A" w:rsidRPr="00B06900" w:rsidTr="00F218FA">
        <w:tc>
          <w:tcPr>
            <w:tcW w:w="2607" w:type="pct"/>
            <w:shd w:val="clear" w:color="auto" w:fill="5B9BD5" w:themeFill="accent5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76586A" w:rsidRPr="00B06900" w:rsidRDefault="0076586A" w:rsidP="00F218FA">
            <w:pPr>
              <w:spacing w:after="0" w:line="360" w:lineRule="auto"/>
              <w:jc w:val="center"/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</w:pPr>
            <w:r>
              <w:rPr>
                <w:rFonts w:ascii="Gandhi Sans" w:eastAsia="Times New Roman" w:hAnsi="Gandhi Sans" w:cs="Arial"/>
                <w:color w:val="FFFFFF" w:themeColor="background1"/>
                <w:sz w:val="20"/>
                <w:szCs w:val="18"/>
              </w:rPr>
              <w:t>OTRAS</w:t>
            </w:r>
          </w:p>
        </w:tc>
      </w:tr>
      <w:tr w:rsidR="0076586A" w:rsidRPr="00B06900" w:rsidTr="00F218FA">
        <w:tc>
          <w:tcPr>
            <w:tcW w:w="2607" w:type="pct"/>
          </w:tcPr>
          <w:p w:rsidR="0076586A" w:rsidRPr="00C27F66" w:rsidRDefault="0076586A" w:rsidP="00F218FA">
            <w:pPr>
              <w:spacing w:after="0" w:line="360" w:lineRule="auto"/>
              <w:contextualSpacing/>
              <w:rPr>
                <w:rFonts w:ascii="Gandhi Sans" w:eastAsia="Times New Roman" w:hAnsi="Gandhi Sans" w:cs="Arial"/>
                <w:b/>
              </w:rPr>
            </w:pPr>
          </w:p>
          <w:p w:rsidR="0076586A" w:rsidRPr="007D5E71" w:rsidRDefault="0076586A" w:rsidP="00F218FA">
            <w:pPr>
              <w:rPr>
                <w:rFonts w:ascii="Gandhi Sans" w:hAnsi="Gandhi Sans"/>
              </w:rPr>
            </w:pPr>
            <w:r w:rsidRPr="007D5E71">
              <w:rPr>
                <w:rFonts w:ascii="Gandhi Sans" w:hAnsi="Gandhi Sans"/>
              </w:rPr>
              <w:t xml:space="preserve">ALIAN, Michel. “Una visión prospectiva de la educación: retos, objetivos y modalidades”. Ed. Carmen Labrador </w:t>
            </w:r>
            <w:proofErr w:type="spellStart"/>
            <w:r w:rsidRPr="007D5E71">
              <w:rPr>
                <w:rFonts w:ascii="Gandhi Sans" w:hAnsi="Gandhi Sans"/>
              </w:rPr>
              <w:t>Herraíz</w:t>
            </w:r>
            <w:proofErr w:type="spellEnd"/>
            <w:r w:rsidRPr="007D5E71">
              <w:rPr>
                <w:rFonts w:ascii="Gandhi Sans" w:hAnsi="Gandhi Sans"/>
              </w:rPr>
              <w:t>. En Revista Educación y Futuro” Número extraordinario, 2002.</w:t>
            </w:r>
          </w:p>
          <w:p w:rsidR="0076586A" w:rsidRPr="007D5E71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t>BERNARD, Bass. La cuestión educativa ante la innovación y el cambio. Ed. Narcea, 1988.</w:t>
            </w:r>
          </w:p>
          <w:p w:rsidR="0076586A" w:rsidRPr="007D5E71" w:rsidRDefault="0076586A" w:rsidP="00F218FA">
            <w:pPr>
              <w:rPr>
                <w:rFonts w:ascii="Gandhi Sans" w:hAnsi="Gandhi Sans"/>
              </w:rPr>
            </w:pPr>
            <w:r w:rsidRPr="007D5E71">
              <w:rPr>
                <w:rFonts w:ascii="Gandhi Sans" w:hAnsi="Gandhi Sans"/>
              </w:rPr>
              <w:t xml:space="preserve">MARÍN, Ma. Ángeles y Sebastián Rodríguez. “Prospectiva del diagnóstico y la orientación”. En Revista de Investigación Educativa 2001, </w:t>
            </w:r>
            <w:proofErr w:type="spellStart"/>
            <w:r w:rsidRPr="007D5E71">
              <w:rPr>
                <w:rFonts w:ascii="Gandhi Sans" w:hAnsi="Gandhi Sans"/>
              </w:rPr>
              <w:t>Vol</w:t>
            </w:r>
            <w:proofErr w:type="spellEnd"/>
            <w:r w:rsidRPr="007D5E71">
              <w:rPr>
                <w:rFonts w:ascii="Gandhi Sans" w:hAnsi="Gandhi Sans"/>
              </w:rPr>
              <w:t xml:space="preserve"> 19 No. 2.</w:t>
            </w:r>
          </w:p>
          <w:p w:rsidR="0076586A" w:rsidRPr="007D5E71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t xml:space="preserve">MELGAR Adalid, Mario.  Educación superior. Propuesta de modernización.  Ed. Fondo de Cultura Económica. </w:t>
            </w:r>
          </w:p>
          <w:p w:rsidR="0076586A" w:rsidRPr="007D5E71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lastRenderedPageBreak/>
              <w:t xml:space="preserve">PYTLCK, Landa </w:t>
            </w:r>
            <w:proofErr w:type="spellStart"/>
            <w:r w:rsidRPr="007D5E71">
              <w:rPr>
                <w:rFonts w:ascii="Gandhi Sans" w:hAnsi="Gandhi Sans"/>
                <w:sz w:val="22"/>
                <w:szCs w:val="22"/>
              </w:rPr>
              <w:t>Jonson</w:t>
            </w:r>
            <w:proofErr w:type="spellEnd"/>
            <w:r w:rsidRPr="007D5E71">
              <w:rPr>
                <w:rFonts w:ascii="Gandhi Sans" w:hAnsi="Gandhi Sans"/>
                <w:sz w:val="22"/>
                <w:szCs w:val="22"/>
              </w:rPr>
              <w:t>. Tecnología, cambio y sociedad. Representantes y servicios de ingeniería. México 1989.</w:t>
            </w:r>
          </w:p>
          <w:p w:rsidR="0076586A" w:rsidRPr="007D5E71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t>SEP. Prospectiva de la innovación, innovación y difusión de la tecnología educativa en México al año 2000. Volumen I. 1982.</w:t>
            </w:r>
          </w:p>
          <w:p w:rsidR="0076586A" w:rsidRPr="007D5E71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t>SEP. Prospectiva del bachillerato 1980-2000. México 1989.</w:t>
            </w:r>
          </w:p>
          <w:p w:rsidR="0076586A" w:rsidRPr="00BB11DC" w:rsidRDefault="0076586A" w:rsidP="00F218FA">
            <w:pPr>
              <w:pStyle w:val="Textoindependiente2"/>
              <w:spacing w:line="240" w:lineRule="auto"/>
              <w:rPr>
                <w:rFonts w:ascii="Gandhi Sans" w:hAnsi="Gandhi Sans"/>
                <w:sz w:val="22"/>
                <w:szCs w:val="22"/>
              </w:rPr>
            </w:pPr>
            <w:r w:rsidRPr="007D5E71">
              <w:rPr>
                <w:rFonts w:ascii="Gandhi Sans" w:hAnsi="Gandhi Sans"/>
                <w:sz w:val="22"/>
                <w:szCs w:val="22"/>
              </w:rPr>
              <w:t>VERA, Margarita.  Universidad y sociedad. Universidad Autónoma de Aguascalientes. 1982.</w:t>
            </w:r>
          </w:p>
        </w:tc>
        <w:tc>
          <w:tcPr>
            <w:tcW w:w="2393" w:type="pct"/>
          </w:tcPr>
          <w:p w:rsidR="0076586A" w:rsidRDefault="0076586A" w:rsidP="00F218FA">
            <w:pPr>
              <w:spacing w:after="0" w:line="360" w:lineRule="auto"/>
              <w:contextualSpacing/>
              <w:jc w:val="both"/>
              <w:rPr>
                <w:rFonts w:ascii="Gandhi Sans" w:eastAsia="Times New Roman" w:hAnsi="Gandhi Sans" w:cs="Arial"/>
                <w:b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proofErr w:type="spellStart"/>
            <w:r w:rsidRPr="00C44BA5">
              <w:rPr>
                <w:rFonts w:ascii="Gandhi Sans" w:hAnsi="Gandhi Sans" w:cs="Arial"/>
              </w:rPr>
              <w:t>Bisquerra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</w:t>
            </w:r>
            <w:proofErr w:type="spellStart"/>
            <w:r w:rsidRPr="00C44BA5">
              <w:rPr>
                <w:rFonts w:ascii="Gandhi Sans" w:hAnsi="Gandhi Sans" w:cs="Arial"/>
              </w:rPr>
              <w:t>Alzina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Rafael. (1992). Orientación psicopedagógica para la prevención y el desarrollo. p. 321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proofErr w:type="spellStart"/>
            <w:r w:rsidRPr="00C44BA5">
              <w:rPr>
                <w:rFonts w:ascii="Gandhi Sans" w:hAnsi="Gandhi Sans" w:cs="Arial"/>
              </w:rPr>
              <w:t>Giddens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Anthony. La tercera vía. La renovación de la socialdemocracia.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proofErr w:type="spellStart"/>
            <w:r w:rsidRPr="00C44BA5">
              <w:rPr>
                <w:rFonts w:ascii="Gandhi Sans" w:hAnsi="Gandhi Sans" w:cs="Arial"/>
              </w:rPr>
              <w:t>Ianni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Octavio. (1999). Teorías de la Globalización. Ed. S. XXI. 4ª ed. México. p. 184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proofErr w:type="spellStart"/>
            <w:r w:rsidRPr="00C44BA5">
              <w:rPr>
                <w:rFonts w:ascii="Gandhi Sans" w:hAnsi="Gandhi Sans" w:cs="Arial"/>
              </w:rPr>
              <w:t>Marí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Molla </w:t>
            </w:r>
            <w:proofErr w:type="spellStart"/>
            <w:r w:rsidRPr="00C44BA5">
              <w:rPr>
                <w:rFonts w:ascii="Gandhi Sans" w:hAnsi="Gandhi Sans" w:cs="Arial"/>
              </w:rPr>
              <w:t>Ricard</w:t>
            </w:r>
            <w:proofErr w:type="spellEnd"/>
            <w:r w:rsidRPr="00C44BA5">
              <w:rPr>
                <w:rFonts w:ascii="Gandhi Sans" w:hAnsi="Gandhi Sans" w:cs="Arial"/>
              </w:rPr>
              <w:t>. (2001). Diagnóstico pedagógico. Un modelo para la intervención psicopedagógica. Ariel educación. España. p. 291.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lastRenderedPageBreak/>
              <w:t>Meneses Díaz Gerardo. Coord. (2002). Nuevas aportaciones al discurso y el sentido de la orientación educativa. LUCERNA DIOGENIS. México. p. 231.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t>Ortega Esteban José. Coord. (1999). Educación Social Especializada. Ariel. España. p. 217.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t>Ortega Esteban José. Coord. (1999). Pedagogía Social Especializada. Ariel. España. p. 221.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t xml:space="preserve">Santacruz Oros Leticia Coord. (2004). Educación, Estado y Sociedad; UG-IIEDUG. México. p. 293 </w:t>
            </w: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t>Revista Mexicana de Orientación Educativa.</w:t>
            </w:r>
          </w:p>
          <w:p w:rsidR="0076586A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proofErr w:type="spellStart"/>
            <w:r w:rsidRPr="00C44BA5">
              <w:rPr>
                <w:rFonts w:ascii="Gandhi Sans" w:hAnsi="Gandhi Sans" w:cs="Arial"/>
              </w:rPr>
              <w:t>Sarramona</w:t>
            </w:r>
            <w:proofErr w:type="spellEnd"/>
            <w:r w:rsidRPr="00C44BA5">
              <w:rPr>
                <w:rFonts w:ascii="Gandhi Sans" w:hAnsi="Gandhi Sans" w:cs="Arial"/>
              </w:rPr>
              <w:t xml:space="preserve"> Jaume et al. (1998). Educación no formal. Ariel educación. España. p. 237</w:t>
            </w:r>
          </w:p>
          <w:p w:rsidR="0076586A" w:rsidRPr="00C44BA5" w:rsidRDefault="0076586A" w:rsidP="00F218FA">
            <w:pPr>
              <w:spacing w:after="0" w:line="240" w:lineRule="auto"/>
              <w:jc w:val="both"/>
              <w:rPr>
                <w:rFonts w:ascii="Gandhi Sans" w:hAnsi="Gandhi Sans" w:cs="Arial"/>
              </w:rPr>
            </w:pPr>
            <w:r w:rsidRPr="00C44BA5">
              <w:rPr>
                <w:rFonts w:ascii="Gandhi Sans" w:hAnsi="Gandhi Sans" w:cs="Arial"/>
              </w:rPr>
              <w:t xml:space="preserve">Vuelvas Salazar Bonifacio. (2002). El sentido y el valor. En busca de un modelo de orientación educativa. Lucerna </w:t>
            </w:r>
            <w:proofErr w:type="spellStart"/>
            <w:r w:rsidRPr="00C44BA5">
              <w:rPr>
                <w:rFonts w:ascii="Gandhi Sans" w:hAnsi="Gandhi Sans" w:cs="Arial"/>
              </w:rPr>
              <w:t>diogenis</w:t>
            </w:r>
            <w:proofErr w:type="spellEnd"/>
            <w:r w:rsidRPr="00C44BA5">
              <w:rPr>
                <w:rFonts w:ascii="Gandhi Sans" w:hAnsi="Gandhi Sans" w:cs="Arial"/>
              </w:rPr>
              <w:t>. México. P.122</w:t>
            </w:r>
          </w:p>
          <w:p w:rsidR="0076586A" w:rsidRPr="00C44BA5" w:rsidRDefault="0076586A" w:rsidP="00F218FA">
            <w:pPr>
              <w:spacing w:after="0" w:line="240" w:lineRule="auto"/>
              <w:contextualSpacing/>
              <w:jc w:val="both"/>
              <w:rPr>
                <w:rFonts w:ascii="Gandhi Sans" w:eastAsia="Times New Roman" w:hAnsi="Gandhi Sans" w:cs="Arial"/>
              </w:rPr>
            </w:pPr>
          </w:p>
          <w:p w:rsidR="0076586A" w:rsidRPr="00996B9F" w:rsidRDefault="0076586A" w:rsidP="00F218FA">
            <w:pPr>
              <w:spacing w:after="0" w:line="360" w:lineRule="auto"/>
              <w:contextualSpacing/>
              <w:jc w:val="both"/>
              <w:rPr>
                <w:rFonts w:ascii="Gandhi Sans" w:eastAsia="Times New Roman" w:hAnsi="Gandhi Sans" w:cs="Arial"/>
                <w:b/>
              </w:rPr>
            </w:pPr>
          </w:p>
        </w:tc>
      </w:tr>
    </w:tbl>
    <w:p w:rsidR="0076586A" w:rsidRPr="00B06900" w:rsidRDefault="0076586A" w:rsidP="0076586A">
      <w:pPr>
        <w:spacing w:before="300" w:after="0"/>
        <w:rPr>
          <w:rFonts w:ascii="Gandhi Serif" w:hAnsi="Gandhi Serif"/>
        </w:rPr>
      </w:pPr>
    </w:p>
    <w:p w:rsidR="0076586A" w:rsidRPr="00B06900" w:rsidRDefault="0076586A" w:rsidP="00D5087F">
      <w:pPr>
        <w:spacing w:before="300" w:after="0"/>
        <w:rPr>
          <w:rFonts w:ascii="Gandhi Serif" w:hAnsi="Gandhi Serif"/>
        </w:rPr>
      </w:pPr>
    </w:p>
    <w:sectPr w:rsidR="0076586A" w:rsidRPr="00B06900" w:rsidSect="00CE14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ndhi Sans">
    <w:altName w:val="Gandhi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ndhi Serif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F92"/>
    <w:multiLevelType w:val="hybridMultilevel"/>
    <w:tmpl w:val="94AE4F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F7FAA"/>
    <w:multiLevelType w:val="hybridMultilevel"/>
    <w:tmpl w:val="9AB6B10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86C19"/>
    <w:multiLevelType w:val="hybridMultilevel"/>
    <w:tmpl w:val="74C050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152DF"/>
    <w:multiLevelType w:val="hybridMultilevel"/>
    <w:tmpl w:val="FBAA49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55BB5"/>
    <w:multiLevelType w:val="hybridMultilevel"/>
    <w:tmpl w:val="E908564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340226"/>
    <w:multiLevelType w:val="hybridMultilevel"/>
    <w:tmpl w:val="219A53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5C7CC6"/>
    <w:multiLevelType w:val="hybridMultilevel"/>
    <w:tmpl w:val="294465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97"/>
    <w:rsid w:val="00025C9F"/>
    <w:rsid w:val="00074616"/>
    <w:rsid w:val="000918A4"/>
    <w:rsid w:val="000A03D7"/>
    <w:rsid w:val="0010249F"/>
    <w:rsid w:val="001B18B3"/>
    <w:rsid w:val="00230C37"/>
    <w:rsid w:val="003301DC"/>
    <w:rsid w:val="003C4F28"/>
    <w:rsid w:val="003F1C96"/>
    <w:rsid w:val="003F7D41"/>
    <w:rsid w:val="00412A1E"/>
    <w:rsid w:val="00453853"/>
    <w:rsid w:val="00487142"/>
    <w:rsid w:val="00495A7E"/>
    <w:rsid w:val="004967C2"/>
    <w:rsid w:val="004A28F4"/>
    <w:rsid w:val="004B0FA1"/>
    <w:rsid w:val="004D414A"/>
    <w:rsid w:val="005A671D"/>
    <w:rsid w:val="005D160E"/>
    <w:rsid w:val="0061497C"/>
    <w:rsid w:val="0063200D"/>
    <w:rsid w:val="0066403A"/>
    <w:rsid w:val="006D46E9"/>
    <w:rsid w:val="006F7859"/>
    <w:rsid w:val="007264C2"/>
    <w:rsid w:val="0076586A"/>
    <w:rsid w:val="007F04E4"/>
    <w:rsid w:val="007F1ADE"/>
    <w:rsid w:val="00813B97"/>
    <w:rsid w:val="008172FE"/>
    <w:rsid w:val="00855417"/>
    <w:rsid w:val="008C6000"/>
    <w:rsid w:val="008D10A2"/>
    <w:rsid w:val="00913D33"/>
    <w:rsid w:val="009913BB"/>
    <w:rsid w:val="00996B3B"/>
    <w:rsid w:val="00996B9F"/>
    <w:rsid w:val="009B5208"/>
    <w:rsid w:val="009C560A"/>
    <w:rsid w:val="00A525A1"/>
    <w:rsid w:val="00AB5DF6"/>
    <w:rsid w:val="00AE1EC6"/>
    <w:rsid w:val="00B06900"/>
    <w:rsid w:val="00B473DA"/>
    <w:rsid w:val="00BA52CC"/>
    <w:rsid w:val="00BB11DC"/>
    <w:rsid w:val="00BD72C1"/>
    <w:rsid w:val="00C27F66"/>
    <w:rsid w:val="00C44BA5"/>
    <w:rsid w:val="00C67476"/>
    <w:rsid w:val="00CE149C"/>
    <w:rsid w:val="00D5087F"/>
    <w:rsid w:val="00D641AB"/>
    <w:rsid w:val="00D9433E"/>
    <w:rsid w:val="00DE4B9A"/>
    <w:rsid w:val="00E7570B"/>
    <w:rsid w:val="00E816F1"/>
    <w:rsid w:val="00EA73F9"/>
    <w:rsid w:val="00EB54D8"/>
    <w:rsid w:val="00ED4943"/>
    <w:rsid w:val="00EE7625"/>
    <w:rsid w:val="00F215C3"/>
    <w:rsid w:val="00F54DDF"/>
    <w:rsid w:val="00F62D2C"/>
    <w:rsid w:val="00F711F4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customStyle="1" w:styleId="Default">
    <w:name w:val="Default"/>
    <w:rsid w:val="00FF7E03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sz w:val="24"/>
      <w:szCs w:val="24"/>
    </w:rPr>
  </w:style>
  <w:style w:type="character" w:customStyle="1" w:styleId="A4">
    <w:name w:val="A4"/>
    <w:uiPriority w:val="99"/>
    <w:rsid w:val="00FF7E03"/>
    <w:rPr>
      <w:rFonts w:cs="Raleway"/>
      <w:color w:val="000000"/>
      <w:sz w:val="20"/>
      <w:szCs w:val="20"/>
    </w:rPr>
  </w:style>
  <w:style w:type="paragraph" w:customStyle="1" w:styleId="Pa15">
    <w:name w:val="Pa15"/>
    <w:basedOn w:val="Default"/>
    <w:next w:val="Default"/>
    <w:uiPriority w:val="99"/>
    <w:rsid w:val="00FF7E03"/>
    <w:pPr>
      <w:spacing w:line="24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913D33"/>
    <w:pPr>
      <w:spacing w:line="221" w:lineRule="atLeast"/>
    </w:pPr>
    <w:rPr>
      <w:rFonts w:ascii="Gandhi Sans" w:hAnsi="Gandhi Sans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913D33"/>
    <w:pPr>
      <w:spacing w:line="281" w:lineRule="atLeast"/>
    </w:pPr>
    <w:rPr>
      <w:rFonts w:ascii="Gandhi Sans" w:hAnsi="Gandhi Sans"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13D33"/>
    <w:pPr>
      <w:spacing w:line="221" w:lineRule="atLeast"/>
    </w:pPr>
    <w:rPr>
      <w:rFonts w:ascii="Gandhi Sans" w:hAnsi="Gandhi Sans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13D33"/>
    <w:pPr>
      <w:spacing w:line="241" w:lineRule="atLeast"/>
    </w:pPr>
    <w:rPr>
      <w:rFonts w:ascii="Gandhi Sans" w:hAnsi="Gandhi Sans" w:cstheme="minorBidi"/>
      <w:color w:val="auto"/>
    </w:rPr>
  </w:style>
  <w:style w:type="paragraph" w:styleId="Prrafodelista">
    <w:name w:val="List Paragraph"/>
    <w:basedOn w:val="Normal"/>
    <w:uiPriority w:val="34"/>
    <w:qFormat/>
    <w:rsid w:val="000A03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C27F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27F6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customStyle="1" w:styleId="Default">
    <w:name w:val="Default"/>
    <w:rsid w:val="00FF7E03"/>
    <w:pPr>
      <w:autoSpaceDE w:val="0"/>
      <w:autoSpaceDN w:val="0"/>
      <w:adjustRightInd w:val="0"/>
      <w:spacing w:after="0" w:line="240" w:lineRule="auto"/>
    </w:pPr>
    <w:rPr>
      <w:rFonts w:ascii="Raleway" w:hAnsi="Raleway" w:cs="Raleway"/>
      <w:color w:val="000000"/>
      <w:sz w:val="24"/>
      <w:szCs w:val="24"/>
    </w:rPr>
  </w:style>
  <w:style w:type="character" w:customStyle="1" w:styleId="A4">
    <w:name w:val="A4"/>
    <w:uiPriority w:val="99"/>
    <w:rsid w:val="00FF7E03"/>
    <w:rPr>
      <w:rFonts w:cs="Raleway"/>
      <w:color w:val="000000"/>
      <w:sz w:val="20"/>
      <w:szCs w:val="20"/>
    </w:rPr>
  </w:style>
  <w:style w:type="paragraph" w:customStyle="1" w:styleId="Pa15">
    <w:name w:val="Pa15"/>
    <w:basedOn w:val="Default"/>
    <w:next w:val="Default"/>
    <w:uiPriority w:val="99"/>
    <w:rsid w:val="00FF7E03"/>
    <w:pPr>
      <w:spacing w:line="24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913D33"/>
    <w:pPr>
      <w:spacing w:line="221" w:lineRule="atLeast"/>
    </w:pPr>
    <w:rPr>
      <w:rFonts w:ascii="Gandhi Sans" w:hAnsi="Gandhi Sans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913D33"/>
    <w:pPr>
      <w:spacing w:line="281" w:lineRule="atLeast"/>
    </w:pPr>
    <w:rPr>
      <w:rFonts w:ascii="Gandhi Sans" w:hAnsi="Gandhi Sans"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913D33"/>
    <w:pPr>
      <w:spacing w:line="221" w:lineRule="atLeast"/>
    </w:pPr>
    <w:rPr>
      <w:rFonts w:ascii="Gandhi Sans" w:hAnsi="Gandhi Sans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913D33"/>
    <w:pPr>
      <w:spacing w:line="241" w:lineRule="atLeast"/>
    </w:pPr>
    <w:rPr>
      <w:rFonts w:ascii="Gandhi Sans" w:hAnsi="Gandhi Sans" w:cstheme="minorBidi"/>
      <w:color w:val="auto"/>
    </w:rPr>
  </w:style>
  <w:style w:type="paragraph" w:styleId="Prrafodelista">
    <w:name w:val="List Paragraph"/>
    <w:basedOn w:val="Normal"/>
    <w:uiPriority w:val="34"/>
    <w:qFormat/>
    <w:rsid w:val="000A03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C27F6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27F6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2162</Words>
  <Characters>11895</Characters>
  <Application>Microsoft Office Word</Application>
  <DocSecurity>4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14029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Anel</cp:lastModifiedBy>
  <cp:revision>2</cp:revision>
  <dcterms:created xsi:type="dcterms:W3CDTF">2018-01-31T05:12:00Z</dcterms:created>
  <dcterms:modified xsi:type="dcterms:W3CDTF">2018-01-31T05:12:00Z</dcterms:modified>
</cp:coreProperties>
</file>