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22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609"/>
        <w:gridCol w:w="201"/>
        <w:gridCol w:w="493"/>
        <w:gridCol w:w="176"/>
        <w:gridCol w:w="116"/>
        <w:gridCol w:w="179"/>
        <w:gridCol w:w="139"/>
        <w:gridCol w:w="287"/>
        <w:gridCol w:w="172"/>
        <w:gridCol w:w="300"/>
        <w:gridCol w:w="677"/>
        <w:gridCol w:w="209"/>
        <w:gridCol w:w="423"/>
        <w:gridCol w:w="290"/>
        <w:gridCol w:w="876"/>
        <w:gridCol w:w="31"/>
        <w:gridCol w:w="200"/>
        <w:gridCol w:w="96"/>
        <w:gridCol w:w="153"/>
        <w:gridCol w:w="309"/>
        <w:gridCol w:w="44"/>
        <w:gridCol w:w="202"/>
        <w:gridCol w:w="520"/>
        <w:gridCol w:w="26"/>
        <w:gridCol w:w="203"/>
        <w:gridCol w:w="235"/>
        <w:gridCol w:w="33"/>
        <w:gridCol w:w="560"/>
        <w:gridCol w:w="409"/>
        <w:gridCol w:w="142"/>
        <w:gridCol w:w="25"/>
      </w:tblGrid>
      <w:tr w:rsidR="00813B97" w:rsidRPr="00B20A7C" w:rsidTr="00765B21">
        <w:trPr>
          <w:gridAfter w:val="1"/>
          <w:wAfter w:w="14" w:type="pct"/>
          <w:trHeight w:hRule="exact" w:val="510"/>
        </w:trPr>
        <w:tc>
          <w:tcPr>
            <w:tcW w:w="15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F54DDF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4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B0690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B20A7C" w:rsidTr="00765B21">
        <w:trPr>
          <w:gridAfter w:val="1"/>
          <w:wAfter w:w="14" w:type="pct"/>
          <w:trHeight w:hRule="exact" w:val="190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4" w:type="pct"/>
            <w:gridSpan w:val="22"/>
            <w:tcBorders>
              <w:left w:val="nil"/>
              <w:bottom w:val="single" w:sz="4" w:space="0" w:color="000000"/>
            </w:tcBorders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765B21">
        <w:trPr>
          <w:gridAfter w:val="1"/>
          <w:wAfter w:w="14" w:type="pct"/>
          <w:trHeight w:hRule="exact" w:val="584"/>
        </w:trPr>
        <w:tc>
          <w:tcPr>
            <w:tcW w:w="15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4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B06900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B20A7C" w:rsidTr="00765B21">
        <w:trPr>
          <w:gridAfter w:val="1"/>
          <w:wAfter w:w="14" w:type="pct"/>
          <w:trHeight w:hRule="exact" w:val="155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04" w:type="pct"/>
            <w:gridSpan w:val="22"/>
            <w:tcBorders>
              <w:left w:val="nil"/>
            </w:tcBorders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765B21">
        <w:trPr>
          <w:gridAfter w:val="1"/>
          <w:wAfter w:w="14" w:type="pct"/>
          <w:trHeight w:hRule="exact" w:val="592"/>
        </w:trPr>
        <w:tc>
          <w:tcPr>
            <w:tcW w:w="15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F54DDF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B20A7C" w:rsidP="00C76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Psicología social de la cultura mexicana</w:t>
            </w:r>
          </w:p>
        </w:tc>
        <w:tc>
          <w:tcPr>
            <w:tcW w:w="167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B20A7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SHLI05322</w:t>
            </w:r>
          </w:p>
        </w:tc>
      </w:tr>
      <w:tr w:rsidR="00813B97" w:rsidRPr="00B20A7C" w:rsidTr="00653BAC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1"/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765B21">
        <w:trPr>
          <w:gridAfter w:val="1"/>
          <w:wAfter w:w="14" w:type="pct"/>
          <w:trHeight w:val="291"/>
        </w:trPr>
        <w:tc>
          <w:tcPr>
            <w:tcW w:w="8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C313E7" w:rsidRDefault="00C313E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76" w:type="pct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B20A7C" w:rsidTr="00765B21">
        <w:trPr>
          <w:gridAfter w:val="1"/>
          <w:wAfter w:w="14" w:type="pct"/>
          <w:trHeight w:val="254"/>
        </w:trPr>
        <w:tc>
          <w:tcPr>
            <w:tcW w:w="8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6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6" w:type="pct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C313E7" w:rsidRDefault="004B6E34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Dr. </w:t>
            </w:r>
            <w:r w:rsidR="001900EF"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Gabriel Medrano de Luna</w:t>
            </w:r>
          </w:p>
        </w:tc>
      </w:tr>
      <w:tr w:rsidR="00813B97" w:rsidRPr="00B20A7C" w:rsidTr="00653BAC">
        <w:trPr>
          <w:trHeight w:val="182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20A7C" w:rsidTr="00765B21">
        <w:trPr>
          <w:gridAfter w:val="1"/>
          <w:wAfter w:w="14" w:type="pct"/>
          <w:trHeight w:val="450"/>
        </w:trPr>
        <w:tc>
          <w:tcPr>
            <w:tcW w:w="129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313E7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313E7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313E7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765B21">
        <w:trPr>
          <w:gridAfter w:val="1"/>
          <w:wAfter w:w="14" w:type="pct"/>
          <w:trHeight w:val="450"/>
        </w:trPr>
        <w:tc>
          <w:tcPr>
            <w:tcW w:w="129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0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313E7" w:rsidRDefault="004B6E34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C313E7" w:rsidRDefault="00653BAC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653BAC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77373" w:rsidRPr="00B20A7C" w:rsidTr="00765B21">
        <w:trPr>
          <w:gridAfter w:val="1"/>
          <w:wAfter w:w="14" w:type="pct"/>
          <w:trHeight w:val="545"/>
        </w:trPr>
        <w:tc>
          <w:tcPr>
            <w:tcW w:w="119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4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313E7" w:rsidRDefault="00C313E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1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7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6D46E9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57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C313E7" w:rsidRDefault="00C313E7" w:rsidP="0014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313E7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653BAC">
        <w:trPr>
          <w:gridAfter w:val="1"/>
          <w:wAfter w:w="14" w:type="pct"/>
          <w:trHeight w:val="119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653BAC">
        <w:trPr>
          <w:gridAfter w:val="1"/>
          <w:wAfter w:w="14" w:type="pct"/>
          <w:trHeight w:hRule="exact" w:val="80"/>
        </w:trPr>
        <w:tc>
          <w:tcPr>
            <w:tcW w:w="4986" w:type="pct"/>
            <w:gridSpan w:val="3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B20A7C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20A7C" w:rsidRDefault="00813B97" w:rsidP="0032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20A7C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B20A7C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65B21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B20A7C" w:rsidTr="00765B21">
        <w:trPr>
          <w:gridAfter w:val="1"/>
          <w:wAfter w:w="14" w:type="pct"/>
          <w:trHeight w:hRule="exact" w:val="631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AC" w:rsidRPr="00765B21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</w:t>
            </w:r>
          </w:p>
          <w:p w:rsidR="00813B97" w:rsidRPr="00765B21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653BA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proofErr w:type="gram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 Profundización  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(    ) Complementaria</w:t>
            </w:r>
          </w:p>
        </w:tc>
      </w:tr>
      <w:tr w:rsidR="00813B97" w:rsidRPr="00B20A7C" w:rsidTr="00653BAC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65B21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MODALIDAD DE ABORDAR EL CONOCIMIENTO</w:t>
            </w:r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proofErr w:type="gramStart"/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X  )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Curso   (    ) Taller   (    ) Laboratorio   (     ) Seminario</w:t>
            </w:r>
          </w:p>
        </w:tc>
      </w:tr>
      <w:tr w:rsidR="00813B97" w:rsidRPr="00B20A7C" w:rsidTr="00653BAC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65B21" w:rsidRDefault="00813B97" w:rsidP="003279BE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</w:t>
            </w:r>
            <w:r w:rsid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</w:t>
            </w:r>
            <w:r w:rsid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</w:t>
            </w:r>
            <w:r w:rsid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</w:t>
            </w:r>
            <w:r w:rsid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B20A7C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20A7C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765B21" w:rsidRPr="00765B21" w:rsidTr="003279BE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765B21" w:rsidRDefault="00813B97" w:rsidP="00765B21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ión de profesionales </w:t>
            </w:r>
            <w:r w:rsidR="00765B21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con estudios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licenciatura, ma</w:t>
            </w:r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estría o </w:t>
            </w:r>
            <w:r w:rsidR="00765B21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doctorado en</w:t>
            </w:r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3A02ED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educación, </w:t>
            </w:r>
            <w:r w:rsidR="00765B21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sociología, antropología</w:t>
            </w:r>
            <w:r w:rsidR="004D310B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2C43A9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además cuente con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2B215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profesional 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en el ámbito</w:t>
            </w:r>
            <w:r w:rsidR="00144583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estudio de las culturas. </w:t>
            </w:r>
            <w:r w:rsidR="002B215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AF28AF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 conveniente que posea las competencias docentes definidas en el Modelo Educativo de la Universidad de Guanajuato.</w:t>
            </w:r>
          </w:p>
        </w:tc>
      </w:tr>
      <w:tr w:rsidR="00813B97" w:rsidRPr="00B20A7C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20A7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765B21" w:rsidRPr="00765B21" w:rsidTr="003279BE">
        <w:trPr>
          <w:jc w:val="center"/>
        </w:trPr>
        <w:tc>
          <w:tcPr>
            <w:tcW w:w="5000" w:type="pct"/>
            <w:gridSpan w:val="2"/>
          </w:tcPr>
          <w:p w:rsidR="00765B21" w:rsidRPr="00765B21" w:rsidRDefault="00765B21" w:rsidP="00765B21">
            <w:pPr>
              <w:rPr>
                <w:sz w:val="20"/>
                <w:szCs w:val="20"/>
              </w:rPr>
            </w:pPr>
            <w:r w:rsidRPr="00765B21">
              <w:rPr>
                <w:sz w:val="20"/>
                <w:szCs w:val="20"/>
              </w:rPr>
              <w:t xml:space="preserve">Este curso contribuye a que el estudiante desarrolle las siguientes competencias </w:t>
            </w:r>
            <w:r>
              <w:rPr>
                <w:sz w:val="20"/>
                <w:szCs w:val="20"/>
              </w:rPr>
              <w:t>genéricas</w:t>
            </w:r>
            <w:r w:rsidRPr="00765B21">
              <w:rPr>
                <w:sz w:val="20"/>
                <w:szCs w:val="20"/>
              </w:rPr>
              <w:t xml:space="preserve"> del perfil de egreso: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 y sustentables.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</w:t>
            </w:r>
            <w:r w:rsidR="002971D6" w:rsidRPr="00765B21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y, en un ambiente de confianza</w:t>
            </w:r>
            <w:r w:rsidR="002971D6" w:rsidRPr="00765B21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,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propicia la colaboración necesaria para lograr el cumplimiento de metas o proyectos.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CG7.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:rsidR="002971D6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CG9.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una segunda lengua, para su relación e inserción en el ámbito internacional.</w:t>
            </w:r>
          </w:p>
          <w:p w:rsidR="002B215C" w:rsidRPr="00765B21" w:rsidRDefault="00765B21" w:rsidP="00765B21">
            <w:pPr>
              <w:spacing w:after="0" w:line="276" w:lineRule="auto"/>
              <w:ind w:left="551" w:hanging="551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2971D6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un liderazgo innovador y competitivo en la disciplina o campo de su elección, que le permite aprender continuamente sobre su persona, nuevos conceptos, procesos y metodologías que le permiten aportar alternativas de </w:t>
            </w:r>
            <w:r w:rsidR="002B215C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solución y tomar decisiones con integridad moral, compromiso social y enfoque de sustentabilidad.</w:t>
            </w:r>
          </w:p>
          <w:p w:rsidR="00765B21" w:rsidRPr="00765B21" w:rsidRDefault="00765B21" w:rsidP="00765B21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propicia el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desarrollo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las siguientes competencias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específicas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perfil de egreso: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CE4.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Identifica y gestiona apoyos para atender necesidades educativas específicas en diferentes contextos.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CE15.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educativas.</w:t>
            </w:r>
          </w:p>
          <w:p w:rsid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CE16.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Genera e </w:t>
            </w:r>
            <w:proofErr w:type="spell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estrategias educativas que respondan a la diversidad socio – cultural. </w:t>
            </w:r>
          </w:p>
          <w:p w:rsid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CE17.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 los procesos históricos de la educación de su país y Latinoamérica. </w:t>
            </w:r>
          </w:p>
          <w:p w:rsidR="00765B21" w:rsidRPr="00765B21" w:rsidRDefault="00765B21" w:rsidP="00765B21">
            <w:pPr>
              <w:spacing w:after="0" w:line="276" w:lineRule="auto"/>
              <w:ind w:left="409" w:hanging="4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CE18.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desarrollo.</w:t>
            </w:r>
          </w:p>
          <w:p w:rsidR="002B215C" w:rsidRPr="00765B21" w:rsidRDefault="002B215C" w:rsidP="00765B21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20A7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765B21" w:rsidRPr="00765B21" w:rsidTr="003279BE">
        <w:trPr>
          <w:jc w:val="center"/>
        </w:trPr>
        <w:tc>
          <w:tcPr>
            <w:tcW w:w="5000" w:type="pct"/>
            <w:gridSpan w:val="2"/>
          </w:tcPr>
          <w:p w:rsidR="002B215C" w:rsidRPr="00765B21" w:rsidRDefault="002B215C" w:rsidP="00D32918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324C5D" w:rsidRPr="00765B21" w:rsidRDefault="00607B3E" w:rsidP="00D32918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curso se integra en curricularmente en el área </w:t>
            </w:r>
            <w:r w:rsidR="002026C8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de profundización del programa de licenciatura en educación de la Universidad de Guanajuato. Comprende 4 horas de clase semanales durante el semestre.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No tiene prerrequisitos normativos ni recomendables.</w:t>
            </w:r>
            <w:r w:rsidR="002026C8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2B215C" w:rsidRPr="00765B21" w:rsidRDefault="002B215C" w:rsidP="00D32918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La lectura, la observación y el planteamiento de cuestionamientos son actividades esenciales en este taller.</w:t>
            </w:r>
          </w:p>
        </w:tc>
      </w:tr>
      <w:tr w:rsidR="00813B97" w:rsidRPr="00B20A7C" w:rsidTr="003279B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B20A7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765B21" w:rsidRPr="00765B21" w:rsidTr="003279BE">
        <w:trPr>
          <w:jc w:val="center"/>
        </w:trPr>
        <w:tc>
          <w:tcPr>
            <w:tcW w:w="5000" w:type="pct"/>
            <w:gridSpan w:val="2"/>
            <w:vAlign w:val="center"/>
          </w:tcPr>
          <w:p w:rsidR="00B2295D" w:rsidRPr="00765B21" w:rsidRDefault="00ED734C" w:rsidP="002B215C">
            <w:pPr>
              <w:spacing w:after="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El estudiante</w:t>
            </w:r>
            <w:r w:rsidR="00B2295D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C761EF" w:rsidRPr="00765B21" w:rsidRDefault="00C761EF" w:rsidP="00C761EF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C761EF" w:rsidRPr="00765B21" w:rsidRDefault="00E212F9" w:rsidP="00C761EF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Desarrolla una visión general sobre la riqueza y diversidad de la cultura mexicana para comprender cómo se han ido </w:t>
            </w:r>
            <w:r w:rsidR="00FC57E4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construyendo los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estereotipos de “</w:t>
            </w:r>
            <w:proofErr w:type="gramStart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lo  mexicano</w:t>
            </w:r>
            <w:proofErr w:type="gramEnd"/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”.</w:t>
            </w:r>
          </w:p>
          <w:p w:rsidR="00ED734C" w:rsidRPr="00765B21" w:rsidRDefault="00ED734C" w:rsidP="00C761EF">
            <w:pPr>
              <w:pStyle w:val="Prrafodelista"/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B20A7C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B20A7C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765B21" w:rsidRPr="00765B21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E05EDE" w:rsidRPr="00765B21" w:rsidRDefault="00E05EDE" w:rsidP="00E05EDE">
            <w:pPr>
              <w:pStyle w:val="Prrafodelista"/>
              <w:ind w:left="360"/>
              <w:rPr>
                <w:sz w:val="20"/>
                <w:szCs w:val="20"/>
              </w:rPr>
            </w:pPr>
          </w:p>
          <w:p w:rsidR="00443E5A" w:rsidRPr="00765B21" w:rsidRDefault="00443E5A" w:rsidP="00443E5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La cultura mexicana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La riqueza histórica, cultural, arquitectónica, geográfica y artesanal de México.</w:t>
            </w:r>
            <w:r w:rsidR="00443E5A"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Recorrido etnomusicológico de diversas tradiciones musicales de México a través de</w:t>
            </w:r>
            <w:r w:rsid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grabaciones sonoras.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Anatomía del mexicano 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Sus pasiones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Sus complejos</w:t>
            </w:r>
          </w:p>
          <w:p w:rsidR="00E212F9" w:rsidRPr="00765B21" w:rsidRDefault="00E212F9" w:rsidP="00443E5A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Su concepción del tiempo</w:t>
            </w:r>
          </w:p>
          <w:p w:rsidR="00443E5A" w:rsidRPr="00765B21" w:rsidRDefault="00443E5A" w:rsidP="00443E5A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443E5A" w:rsidRPr="00765B21" w:rsidRDefault="00443E5A" w:rsidP="00443E5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El México bárbaro</w:t>
            </w:r>
          </w:p>
          <w:p w:rsidR="00443E5A" w:rsidRPr="00765B21" w:rsidRDefault="00443E5A" w:rsidP="00443E5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La fiesta</w:t>
            </w:r>
          </w:p>
          <w:p w:rsidR="00443E5A" w:rsidRPr="00765B21" w:rsidRDefault="00443E5A" w:rsidP="00443E5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65B21">
              <w:rPr>
                <w:rFonts w:eastAsia="Times New Roman" w:cs="Arial"/>
                <w:bCs/>
                <w:spacing w:val="-1"/>
                <w:sz w:val="20"/>
                <w:szCs w:val="20"/>
              </w:rPr>
              <w:t>Los estereotipos</w:t>
            </w:r>
          </w:p>
          <w:p w:rsidR="00813B97" w:rsidRPr="00765B21" w:rsidRDefault="00813B97" w:rsidP="00324C5D">
            <w:pPr>
              <w:pStyle w:val="Prrafodelista"/>
              <w:spacing w:after="0" w:line="276" w:lineRule="auto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813B97" w:rsidRPr="00B20A7C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B20A7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B20A7C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765B21" w:rsidRPr="00765B21" w:rsidTr="00B06900">
        <w:trPr>
          <w:jc w:val="center"/>
        </w:trPr>
        <w:tc>
          <w:tcPr>
            <w:tcW w:w="2613" w:type="pct"/>
            <w:vAlign w:val="center"/>
          </w:tcPr>
          <w:p w:rsidR="00901CD3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765B21">
              <w:rPr>
                <w:rFonts w:eastAsia="Times New Roman" w:cs="Arial"/>
                <w:sz w:val="20"/>
                <w:szCs w:val="20"/>
              </w:rPr>
              <w:t>Investigación  individual</w:t>
            </w:r>
            <w:proofErr w:type="gramEnd"/>
            <w:r w:rsidRPr="00765B21">
              <w:rPr>
                <w:rFonts w:eastAsia="Times New Roman" w:cs="Arial"/>
                <w:sz w:val="20"/>
                <w:szCs w:val="20"/>
              </w:rPr>
              <w:t xml:space="preserve"> y en equipo</w:t>
            </w:r>
          </w:p>
          <w:p w:rsidR="00901CD3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Lecturas</w:t>
            </w:r>
          </w:p>
          <w:p w:rsidR="00901CD3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Elaboración de ensayos</w:t>
            </w:r>
          </w:p>
          <w:p w:rsidR="00901CD3" w:rsidRPr="00765B21" w:rsidRDefault="00E212F9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Trabajo de campo</w:t>
            </w:r>
          </w:p>
          <w:p w:rsidR="00901CD3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Análisis de videos</w:t>
            </w:r>
          </w:p>
          <w:p w:rsidR="00901CD3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Debate</w:t>
            </w:r>
            <w:r w:rsidR="002C43A9" w:rsidRPr="00765B21">
              <w:rPr>
                <w:rFonts w:eastAsia="Times New Roman" w:cs="Arial"/>
                <w:sz w:val="20"/>
                <w:szCs w:val="20"/>
              </w:rPr>
              <w:t>s</w:t>
            </w:r>
          </w:p>
          <w:p w:rsidR="00813B97" w:rsidRPr="00765B21" w:rsidRDefault="00901CD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Elaboración de textos académicos</w:t>
            </w:r>
          </w:p>
          <w:p w:rsidR="00877373" w:rsidRPr="00765B21" w:rsidRDefault="00877373" w:rsidP="008773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Asistencia a eventos académicos relacionados con el tema.</w:t>
            </w:r>
          </w:p>
        </w:tc>
        <w:tc>
          <w:tcPr>
            <w:tcW w:w="2387" w:type="pct"/>
            <w:vAlign w:val="center"/>
          </w:tcPr>
          <w:p w:rsidR="008F7478" w:rsidRPr="00765B21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Rotafolio y marcadores</w:t>
            </w:r>
          </w:p>
          <w:p w:rsidR="00AF28AF" w:rsidRPr="00765B21" w:rsidRDefault="008037B2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Computadora y Cañón</w:t>
            </w:r>
          </w:p>
          <w:p w:rsidR="00E212F9" w:rsidRPr="00765B21" w:rsidRDefault="00E212F9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Libros</w:t>
            </w:r>
          </w:p>
          <w:p w:rsidR="008037B2" w:rsidRPr="00765B21" w:rsidRDefault="008037B2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Revistas</w:t>
            </w:r>
          </w:p>
          <w:p w:rsidR="008F7478" w:rsidRPr="00765B21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Internet</w:t>
            </w:r>
          </w:p>
          <w:p w:rsidR="00E212F9" w:rsidRPr="00765B21" w:rsidRDefault="00E212F9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videos</w:t>
            </w:r>
          </w:p>
          <w:p w:rsidR="008F7478" w:rsidRPr="00765B21" w:rsidRDefault="008F7478" w:rsidP="008F7478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 xml:space="preserve">Plataforma </w:t>
            </w:r>
            <w:proofErr w:type="spellStart"/>
            <w:r w:rsidRPr="00765B21">
              <w:rPr>
                <w:rFonts w:eastAsia="Times New Roman" w:cs="Arial"/>
                <w:sz w:val="20"/>
                <w:szCs w:val="20"/>
              </w:rPr>
              <w:t>moodle</w:t>
            </w:r>
            <w:proofErr w:type="spellEnd"/>
          </w:p>
        </w:tc>
      </w:tr>
      <w:tr w:rsidR="00813B97" w:rsidRPr="00B20A7C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B20A7C" w:rsidRDefault="00813B97" w:rsidP="00877373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B20A7C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765B21" w:rsidRPr="00765B21" w:rsidTr="00FC57E4">
        <w:trPr>
          <w:trHeight w:val="3269"/>
          <w:jc w:val="center"/>
        </w:trPr>
        <w:tc>
          <w:tcPr>
            <w:tcW w:w="2613" w:type="pct"/>
          </w:tcPr>
          <w:p w:rsidR="00813B97" w:rsidRPr="00765B21" w:rsidRDefault="00813B97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765B21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Mapas conceptuales</w:t>
            </w:r>
          </w:p>
          <w:p w:rsidR="0022624E" w:rsidRPr="00765B21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765B21">
              <w:rPr>
                <w:rFonts w:eastAsia="Times New Roman" w:cs="Arial"/>
                <w:sz w:val="20"/>
                <w:szCs w:val="20"/>
              </w:rPr>
              <w:t>Presentaciones  (</w:t>
            </w:r>
            <w:proofErr w:type="spellStart"/>
            <w:proofErr w:type="gramEnd"/>
            <w:r w:rsidRPr="00765B21">
              <w:rPr>
                <w:rFonts w:eastAsia="Times New Roman" w:cs="Arial"/>
                <w:sz w:val="20"/>
                <w:szCs w:val="20"/>
              </w:rPr>
              <w:t>ppt</w:t>
            </w:r>
            <w:proofErr w:type="spellEnd"/>
            <w:r w:rsidRPr="00765B21">
              <w:rPr>
                <w:rFonts w:eastAsia="Times New Roman" w:cs="Arial"/>
                <w:sz w:val="20"/>
                <w:szCs w:val="20"/>
              </w:rPr>
              <w:t>./</w:t>
            </w:r>
            <w:proofErr w:type="spellStart"/>
            <w:r w:rsidRPr="00765B21">
              <w:rPr>
                <w:rFonts w:eastAsia="Times New Roman" w:cs="Arial"/>
                <w:sz w:val="20"/>
                <w:szCs w:val="20"/>
              </w:rPr>
              <w:t>prezi</w:t>
            </w:r>
            <w:proofErr w:type="spellEnd"/>
            <w:r w:rsidRPr="00765B21">
              <w:rPr>
                <w:rFonts w:eastAsia="Times New Roman" w:cs="Arial"/>
                <w:sz w:val="20"/>
                <w:szCs w:val="20"/>
              </w:rPr>
              <w:t>)</w:t>
            </w:r>
          </w:p>
          <w:p w:rsidR="0022624E" w:rsidRPr="00765B21" w:rsidRDefault="0022624E" w:rsidP="00607B3E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Ensayos</w:t>
            </w:r>
          </w:p>
          <w:p w:rsidR="0022624E" w:rsidRPr="00765B21" w:rsidRDefault="0022624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Constancias de asistencia a eventos académicos</w:t>
            </w:r>
          </w:p>
          <w:p w:rsidR="0022624E" w:rsidRPr="00765B21" w:rsidRDefault="00607B3E" w:rsidP="00DA06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65B21">
              <w:rPr>
                <w:rFonts w:eastAsia="Times New Roman" w:cs="Arial"/>
                <w:sz w:val="20"/>
                <w:szCs w:val="20"/>
              </w:rPr>
              <w:t>Videos</w:t>
            </w:r>
          </w:p>
          <w:p w:rsidR="00215AD5" w:rsidRPr="00765B21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765B21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765B21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765B21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215AD5" w:rsidRPr="00765B21" w:rsidRDefault="00215AD5" w:rsidP="003279B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87" w:type="pct"/>
          </w:tcPr>
          <w:tbl>
            <w:tblPr>
              <w:tblStyle w:val="Tablanormal11"/>
              <w:tblpPr w:leftFromText="141" w:rightFromText="141" w:tblpY="4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85"/>
              <w:gridCol w:w="1310"/>
              <w:gridCol w:w="1718"/>
            </w:tblGrid>
            <w:tr w:rsidR="00765B21" w:rsidRPr="00765B21" w:rsidTr="00215A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765B21" w:rsidRDefault="002B215C" w:rsidP="003279BE">
                  <w:pPr>
                    <w:jc w:val="center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ASPECTO</w:t>
                  </w:r>
                </w:p>
              </w:tc>
              <w:tc>
                <w:tcPr>
                  <w:tcW w:w="1310" w:type="dxa"/>
                </w:tcPr>
                <w:p w:rsidR="002B215C" w:rsidRPr="00765B21" w:rsidRDefault="002B215C" w:rsidP="003279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CRITERIOS</w:t>
                  </w:r>
                </w:p>
              </w:tc>
              <w:tc>
                <w:tcPr>
                  <w:tcW w:w="1718" w:type="dxa"/>
                </w:tcPr>
                <w:p w:rsidR="002B215C" w:rsidRPr="00765B21" w:rsidRDefault="002B215C" w:rsidP="003279B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PONDERACIÓN</w:t>
                  </w:r>
                </w:p>
              </w:tc>
            </w:tr>
            <w:tr w:rsidR="00765B21" w:rsidRPr="00765B21" w:rsidTr="00215A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765B21" w:rsidRDefault="002B215C" w:rsidP="003279BE">
                  <w:pPr>
                    <w:rPr>
                      <w:rFonts w:cs="Arial"/>
                      <w:b w:val="0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b w:val="0"/>
                      <w:shd w:val="clear" w:color="auto" w:fill="FFFFFF"/>
                    </w:rPr>
                    <w:t>Trabajos en clase</w:t>
                  </w:r>
                </w:p>
              </w:tc>
              <w:tc>
                <w:tcPr>
                  <w:tcW w:w="1310" w:type="dxa"/>
                  <w:vMerge w:val="restart"/>
                </w:tcPr>
                <w:p w:rsidR="002B215C" w:rsidRPr="00765B21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 xml:space="preserve">Se entregará lista de criterios </w:t>
                  </w:r>
                  <w:proofErr w:type="gramStart"/>
                  <w:r w:rsidRPr="00765B21">
                    <w:rPr>
                      <w:rFonts w:cs="Arial"/>
                      <w:shd w:val="clear" w:color="auto" w:fill="FFFFFF"/>
                    </w:rPr>
                    <w:t>de acuerdo al</w:t>
                  </w:r>
                  <w:proofErr w:type="gramEnd"/>
                  <w:r w:rsidRPr="00765B21">
                    <w:rPr>
                      <w:rFonts w:cs="Arial"/>
                      <w:shd w:val="clear" w:color="auto" w:fill="FFFFFF"/>
                    </w:rPr>
                    <w:t xml:space="preserve"> tipo de trabajo académico,</w:t>
                  </w:r>
                </w:p>
              </w:tc>
              <w:tc>
                <w:tcPr>
                  <w:tcW w:w="1718" w:type="dxa"/>
                </w:tcPr>
                <w:p w:rsidR="002B215C" w:rsidRPr="00765B21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30%</w:t>
                  </w:r>
                </w:p>
              </w:tc>
            </w:tr>
            <w:tr w:rsidR="00765B21" w:rsidRPr="00765B21" w:rsidTr="00215A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765B21" w:rsidRDefault="002B215C" w:rsidP="003279BE">
                  <w:pPr>
                    <w:rPr>
                      <w:rFonts w:cs="Arial"/>
                      <w:b w:val="0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b w:val="0"/>
                      <w:shd w:val="clear" w:color="auto" w:fill="FFFFFF"/>
                    </w:rPr>
                    <w:t>Exposición</w:t>
                  </w:r>
                </w:p>
              </w:tc>
              <w:tc>
                <w:tcPr>
                  <w:tcW w:w="1310" w:type="dxa"/>
                  <w:vMerge/>
                </w:tcPr>
                <w:p w:rsidR="002B215C" w:rsidRPr="00765B21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2B215C" w:rsidRPr="00765B21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10%</w:t>
                  </w:r>
                </w:p>
              </w:tc>
            </w:tr>
            <w:tr w:rsidR="00765B21" w:rsidRPr="00765B21" w:rsidTr="00215A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2B215C" w:rsidRPr="00765B21" w:rsidRDefault="002B215C" w:rsidP="003279BE">
                  <w:pPr>
                    <w:rPr>
                      <w:rFonts w:cs="Arial"/>
                      <w:b w:val="0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b w:val="0"/>
                      <w:shd w:val="clear" w:color="auto" w:fill="FFFFFF"/>
                    </w:rPr>
                    <w:t xml:space="preserve">Trabajo final </w:t>
                  </w:r>
                </w:p>
              </w:tc>
              <w:tc>
                <w:tcPr>
                  <w:tcW w:w="1310" w:type="dxa"/>
                  <w:vMerge/>
                </w:tcPr>
                <w:p w:rsidR="002B215C" w:rsidRPr="00765B21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2B215C" w:rsidRPr="00765B21" w:rsidRDefault="002B215C" w:rsidP="003279B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60%</w:t>
                  </w:r>
                </w:p>
              </w:tc>
            </w:tr>
            <w:tr w:rsidR="00765B21" w:rsidRPr="00765B21" w:rsidTr="00215A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95" w:type="dxa"/>
                  <w:gridSpan w:val="2"/>
                </w:tcPr>
                <w:p w:rsidR="002B215C" w:rsidRPr="00765B21" w:rsidRDefault="002B215C" w:rsidP="003279BE">
                  <w:pPr>
                    <w:jc w:val="center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TOTAL</w:t>
                  </w:r>
                </w:p>
              </w:tc>
              <w:tc>
                <w:tcPr>
                  <w:tcW w:w="1718" w:type="dxa"/>
                </w:tcPr>
                <w:p w:rsidR="002B215C" w:rsidRPr="00765B21" w:rsidRDefault="002B215C" w:rsidP="003279BE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Arial"/>
                      <w:shd w:val="clear" w:color="auto" w:fill="FFFFFF"/>
                    </w:rPr>
                  </w:pPr>
                  <w:r w:rsidRPr="00765B21">
                    <w:rPr>
                      <w:rFonts w:cs="Arial"/>
                      <w:shd w:val="clear" w:color="auto" w:fill="FFFFFF"/>
                    </w:rPr>
                    <w:t>100%</w:t>
                  </w:r>
                </w:p>
              </w:tc>
            </w:tr>
          </w:tbl>
          <w:p w:rsidR="00813B97" w:rsidRPr="00765B21" w:rsidRDefault="00813B97" w:rsidP="003279BE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B20A7C" w:rsidTr="003279BE">
        <w:tc>
          <w:tcPr>
            <w:tcW w:w="5000" w:type="pct"/>
            <w:gridSpan w:val="2"/>
            <w:shd w:val="clear" w:color="auto" w:fill="5B9BD5" w:themeFill="accent5"/>
          </w:tcPr>
          <w:p w:rsidR="00813B97" w:rsidRPr="00B20A7C" w:rsidRDefault="00813B97" w:rsidP="003279BE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B20A7C" w:rsidTr="00996B9F">
        <w:tc>
          <w:tcPr>
            <w:tcW w:w="2607" w:type="pct"/>
            <w:shd w:val="clear" w:color="auto" w:fill="5B9BD5" w:themeFill="accent5"/>
          </w:tcPr>
          <w:p w:rsidR="00813B97" w:rsidRPr="00B20A7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B20A7C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B20A7C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B20A7C" w:rsidTr="00765B21">
        <w:trPr>
          <w:trHeight w:val="1828"/>
        </w:trPr>
        <w:tc>
          <w:tcPr>
            <w:tcW w:w="2607" w:type="pct"/>
          </w:tcPr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Bartra, Roger, selección y prólogo, </w:t>
            </w:r>
            <w:r w:rsidRPr="00B20A7C">
              <w:rPr>
                <w:i/>
                <w:sz w:val="20"/>
                <w:szCs w:val="20"/>
              </w:rPr>
              <w:t>Anatomía del mexicano</w:t>
            </w:r>
            <w:r w:rsidRPr="00B20A7C">
              <w:rPr>
                <w:sz w:val="20"/>
                <w:szCs w:val="20"/>
              </w:rPr>
              <w:t>, México, Plaza Janés, 2002.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Díaz-Guerrero, Rogelio, </w:t>
            </w:r>
            <w:r w:rsidRPr="00B20A7C">
              <w:rPr>
                <w:i/>
                <w:sz w:val="20"/>
                <w:szCs w:val="20"/>
              </w:rPr>
              <w:t>Estudios de psicología del mexicano</w:t>
            </w:r>
            <w:r w:rsidRPr="00B20A7C">
              <w:rPr>
                <w:sz w:val="20"/>
                <w:szCs w:val="20"/>
              </w:rPr>
              <w:t>, México, trillas, 1979.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 ___________________, </w:t>
            </w:r>
            <w:r w:rsidRPr="00B20A7C">
              <w:rPr>
                <w:i/>
                <w:sz w:val="20"/>
                <w:szCs w:val="20"/>
              </w:rPr>
              <w:t xml:space="preserve">Psicología del mexicano. Descubrimiento de la </w:t>
            </w:r>
            <w:proofErr w:type="spellStart"/>
            <w:r w:rsidRPr="00B20A7C">
              <w:rPr>
                <w:i/>
                <w:sz w:val="20"/>
                <w:szCs w:val="20"/>
              </w:rPr>
              <w:t>etnopsicología</w:t>
            </w:r>
            <w:proofErr w:type="spellEnd"/>
            <w:r w:rsidRPr="00B20A7C">
              <w:rPr>
                <w:sz w:val="20"/>
                <w:szCs w:val="20"/>
              </w:rPr>
              <w:t>, México, Trillas, 1999.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lastRenderedPageBreak/>
              <w:t xml:space="preserve">Fischer, G. N., </w:t>
            </w:r>
            <w:r w:rsidRPr="00B20A7C">
              <w:rPr>
                <w:i/>
                <w:sz w:val="20"/>
                <w:szCs w:val="20"/>
              </w:rPr>
              <w:t>Psicología Social. Conceptos fundamentales</w:t>
            </w:r>
            <w:r w:rsidRPr="00B20A7C">
              <w:rPr>
                <w:sz w:val="20"/>
                <w:szCs w:val="20"/>
              </w:rPr>
              <w:t>, España, Narcea, 1990.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Fuentes, Carlos, </w:t>
            </w:r>
            <w:r w:rsidRPr="00B20A7C">
              <w:rPr>
                <w:i/>
                <w:sz w:val="20"/>
                <w:szCs w:val="20"/>
              </w:rPr>
              <w:t>Nuevo tiempo mexicano</w:t>
            </w:r>
            <w:r w:rsidRPr="00B20A7C">
              <w:rPr>
                <w:sz w:val="20"/>
                <w:szCs w:val="20"/>
              </w:rPr>
              <w:t>, México, Aguilar, 1994.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i/>
                <w:sz w:val="20"/>
                <w:szCs w:val="20"/>
              </w:rPr>
              <w:t>Historia general de México</w:t>
            </w:r>
            <w:r w:rsidRPr="00B20A7C">
              <w:rPr>
                <w:sz w:val="20"/>
                <w:szCs w:val="20"/>
              </w:rPr>
              <w:t>, México, El Colegio de México, 2000.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Kenneth Turner, John, </w:t>
            </w:r>
            <w:r w:rsidRPr="00B20A7C">
              <w:rPr>
                <w:i/>
                <w:sz w:val="20"/>
                <w:szCs w:val="20"/>
              </w:rPr>
              <w:t>México bárbaro</w:t>
            </w:r>
            <w:r w:rsidRPr="00B20A7C">
              <w:rPr>
                <w:sz w:val="20"/>
                <w:szCs w:val="20"/>
              </w:rPr>
              <w:t>, México, Ediciones Leyenda, 2004.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Monsiváis, Carlos, </w:t>
            </w:r>
            <w:r w:rsidRPr="00B20A7C">
              <w:rPr>
                <w:i/>
                <w:sz w:val="20"/>
                <w:szCs w:val="20"/>
              </w:rPr>
              <w:t>Nuevo catecismo para indios remisos</w:t>
            </w:r>
            <w:r w:rsidRPr="00B20A7C">
              <w:rPr>
                <w:sz w:val="20"/>
                <w:szCs w:val="20"/>
              </w:rPr>
              <w:t>, México, Era, 1996.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_______________, </w:t>
            </w:r>
            <w:r w:rsidRPr="00B20A7C">
              <w:rPr>
                <w:i/>
                <w:sz w:val="20"/>
                <w:szCs w:val="20"/>
              </w:rPr>
              <w:t>A ustedes les consta. Antología de la crónica en México</w:t>
            </w:r>
            <w:r w:rsidRPr="00B20A7C">
              <w:rPr>
                <w:sz w:val="20"/>
                <w:szCs w:val="20"/>
              </w:rPr>
              <w:t>, México, 1ª edición 1980, Era, 15ª reimpresión, 2003, serie Crónicas.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_______________, </w:t>
            </w:r>
            <w:r w:rsidRPr="00B20A7C">
              <w:rPr>
                <w:i/>
                <w:sz w:val="20"/>
                <w:szCs w:val="20"/>
              </w:rPr>
              <w:t>Los rituales del caos</w:t>
            </w:r>
            <w:r w:rsidRPr="00B20A7C">
              <w:rPr>
                <w:sz w:val="20"/>
                <w:szCs w:val="20"/>
              </w:rPr>
              <w:t>, México, 1ª edición 1995, Era, 2ª edición (corregida) 2001.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_______________, </w:t>
            </w:r>
            <w:r w:rsidRPr="00B20A7C">
              <w:rPr>
                <w:i/>
                <w:sz w:val="20"/>
                <w:szCs w:val="20"/>
              </w:rPr>
              <w:t>Escenas de pudor y liviandad</w:t>
            </w:r>
            <w:r w:rsidRPr="00B20A7C">
              <w:rPr>
                <w:sz w:val="20"/>
                <w:szCs w:val="20"/>
              </w:rPr>
              <w:t>, México, Era, 1ª edición 1981, 9ª edición 1988.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Novo, Salvador, </w:t>
            </w:r>
            <w:r w:rsidRPr="00B20A7C">
              <w:rPr>
                <w:i/>
                <w:sz w:val="20"/>
                <w:szCs w:val="20"/>
              </w:rPr>
              <w:t>Nueva grandeza mexicana. Ensayo sobre la Ciudad de México y sus Alrededores</w:t>
            </w:r>
            <w:r w:rsidRPr="00B20A7C">
              <w:rPr>
                <w:sz w:val="20"/>
                <w:szCs w:val="20"/>
              </w:rPr>
              <w:t xml:space="preserve">, México, </w:t>
            </w:r>
            <w:proofErr w:type="spellStart"/>
            <w:r w:rsidRPr="00B20A7C">
              <w:rPr>
                <w:sz w:val="20"/>
                <w:szCs w:val="20"/>
              </w:rPr>
              <w:t>Populibros</w:t>
            </w:r>
            <w:proofErr w:type="spellEnd"/>
            <w:r w:rsidRPr="00B20A7C">
              <w:rPr>
                <w:sz w:val="20"/>
                <w:szCs w:val="20"/>
              </w:rPr>
              <w:t xml:space="preserve"> La Prensa, 1956, Número 12. 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Paz, Octavio, </w:t>
            </w:r>
            <w:r w:rsidRPr="00B20A7C">
              <w:rPr>
                <w:i/>
                <w:sz w:val="20"/>
                <w:szCs w:val="20"/>
              </w:rPr>
              <w:t>El laberinto de la soledad</w:t>
            </w:r>
            <w:r w:rsidRPr="00B20A7C">
              <w:rPr>
                <w:sz w:val="20"/>
                <w:szCs w:val="20"/>
              </w:rPr>
              <w:t>, México, FCE, 1994.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Pérez Martínez, Herón, Editor, </w:t>
            </w:r>
            <w:r w:rsidRPr="00B20A7C">
              <w:rPr>
                <w:i/>
                <w:sz w:val="20"/>
                <w:szCs w:val="20"/>
              </w:rPr>
              <w:t>México en fiesta</w:t>
            </w:r>
            <w:r w:rsidRPr="00B20A7C">
              <w:rPr>
                <w:sz w:val="20"/>
                <w:szCs w:val="20"/>
              </w:rPr>
              <w:t>, México, El Colegio de Michoacán – Secretaría de Turismo del Estado de Michoacán, 1998.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Pérez Montfort, Ricardo, </w:t>
            </w:r>
            <w:r w:rsidRPr="00B20A7C">
              <w:rPr>
                <w:i/>
                <w:sz w:val="20"/>
                <w:szCs w:val="20"/>
              </w:rPr>
              <w:t>Juntos y medio revueltos. La ciudad de México durante el sexenio del general Cárdenas y otros ensayos</w:t>
            </w:r>
            <w:r w:rsidRPr="00B20A7C">
              <w:rPr>
                <w:sz w:val="20"/>
                <w:szCs w:val="20"/>
              </w:rPr>
              <w:t>, México, ¡</w:t>
            </w:r>
            <w:proofErr w:type="spellStart"/>
            <w:r w:rsidRPr="00B20A7C">
              <w:rPr>
                <w:sz w:val="20"/>
                <w:szCs w:val="20"/>
              </w:rPr>
              <w:t>UníoS</w:t>
            </w:r>
            <w:proofErr w:type="spellEnd"/>
            <w:r w:rsidRPr="00B20A7C">
              <w:rPr>
                <w:sz w:val="20"/>
                <w:szCs w:val="20"/>
              </w:rPr>
              <w:t>!, 2000, Colección Sábado Distrito Federal.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Ramírez, Santiago, </w:t>
            </w:r>
            <w:r w:rsidRPr="00B20A7C">
              <w:rPr>
                <w:i/>
                <w:sz w:val="20"/>
                <w:szCs w:val="20"/>
              </w:rPr>
              <w:t>El mexicano, psicología de sus motivaciones</w:t>
            </w:r>
            <w:r w:rsidRPr="00B20A7C">
              <w:rPr>
                <w:sz w:val="20"/>
                <w:szCs w:val="20"/>
              </w:rPr>
              <w:t xml:space="preserve">, México, 2ª </w:t>
            </w:r>
            <w:proofErr w:type="gramStart"/>
            <w:r w:rsidRPr="00B20A7C">
              <w:rPr>
                <w:sz w:val="20"/>
                <w:szCs w:val="20"/>
              </w:rPr>
              <w:t>reimpresión,  Grijalbo</w:t>
            </w:r>
            <w:proofErr w:type="gramEnd"/>
            <w:r w:rsidRPr="00B20A7C">
              <w:rPr>
                <w:sz w:val="20"/>
                <w:szCs w:val="20"/>
              </w:rPr>
              <w:t>, 2003.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Ramos, Samuel, </w:t>
            </w:r>
            <w:r w:rsidRPr="00B20A7C">
              <w:rPr>
                <w:i/>
                <w:sz w:val="20"/>
                <w:szCs w:val="20"/>
              </w:rPr>
              <w:t>El perfil del hombre y la cultura en México</w:t>
            </w:r>
            <w:r w:rsidRPr="00B20A7C">
              <w:rPr>
                <w:sz w:val="20"/>
                <w:szCs w:val="20"/>
              </w:rPr>
              <w:t>, México, Colección Austral, 2002.</w:t>
            </w:r>
          </w:p>
          <w:p w:rsidR="003A02ED" w:rsidRPr="00B20A7C" w:rsidRDefault="003A02ED" w:rsidP="003A02ED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r w:rsidRPr="00B20A7C">
              <w:rPr>
                <w:sz w:val="20"/>
                <w:szCs w:val="20"/>
              </w:rPr>
              <w:t xml:space="preserve">Sesto, Julio, </w:t>
            </w:r>
            <w:r w:rsidRPr="00B20A7C">
              <w:rPr>
                <w:i/>
                <w:sz w:val="20"/>
                <w:szCs w:val="20"/>
              </w:rPr>
              <w:t>Cactus. Poesía doliente de la tierra mexicana</w:t>
            </w:r>
            <w:r w:rsidRPr="00B20A7C">
              <w:rPr>
                <w:sz w:val="20"/>
                <w:szCs w:val="20"/>
              </w:rPr>
              <w:t>, México, El Libro Español, 1920.</w:t>
            </w:r>
          </w:p>
          <w:p w:rsidR="00996B9F" w:rsidRPr="00765B21" w:rsidRDefault="003A02ED" w:rsidP="00765B21">
            <w:pPr>
              <w:spacing w:line="240" w:lineRule="auto"/>
              <w:ind w:left="709" w:hanging="709"/>
              <w:jc w:val="both"/>
              <w:rPr>
                <w:sz w:val="20"/>
                <w:szCs w:val="20"/>
              </w:rPr>
            </w:pPr>
            <w:proofErr w:type="spellStart"/>
            <w:r w:rsidRPr="00B20A7C">
              <w:rPr>
                <w:sz w:val="20"/>
                <w:szCs w:val="20"/>
              </w:rPr>
              <w:t>Weckmann</w:t>
            </w:r>
            <w:proofErr w:type="spellEnd"/>
            <w:r w:rsidRPr="00B20A7C">
              <w:rPr>
                <w:sz w:val="20"/>
                <w:szCs w:val="20"/>
              </w:rPr>
              <w:t xml:space="preserve">, Luis, </w:t>
            </w:r>
            <w:r w:rsidRPr="00B20A7C">
              <w:rPr>
                <w:i/>
                <w:sz w:val="20"/>
                <w:szCs w:val="20"/>
              </w:rPr>
              <w:t>La herencia medieval en México</w:t>
            </w:r>
            <w:r w:rsidRPr="00B20A7C">
              <w:rPr>
                <w:sz w:val="20"/>
                <w:szCs w:val="20"/>
              </w:rPr>
              <w:t xml:space="preserve">, México, FCE – El Colegio de México, 1996. </w:t>
            </w:r>
          </w:p>
        </w:tc>
        <w:tc>
          <w:tcPr>
            <w:tcW w:w="2393" w:type="pct"/>
          </w:tcPr>
          <w:p w:rsidR="00813B97" w:rsidRPr="00B20A7C" w:rsidRDefault="00813B97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A44B68" w:rsidRPr="00B20A7C" w:rsidRDefault="00A44B6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B20A7C" w:rsidRDefault="00813B97">
      <w:pPr>
        <w:rPr>
          <w:sz w:val="20"/>
          <w:szCs w:val="20"/>
        </w:rPr>
      </w:pPr>
      <w:bookmarkStart w:id="1" w:name="_GoBack"/>
      <w:bookmarkEnd w:id="1"/>
    </w:p>
    <w:p w:rsidR="00813B97" w:rsidRPr="00B20A7C" w:rsidRDefault="00813B97">
      <w:pPr>
        <w:rPr>
          <w:sz w:val="20"/>
          <w:szCs w:val="20"/>
        </w:rPr>
      </w:pPr>
    </w:p>
    <w:sectPr w:rsidR="00813B97" w:rsidRPr="00B20A7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32A" w:rsidRDefault="0095732A" w:rsidP="00D80298">
      <w:pPr>
        <w:spacing w:after="0" w:line="240" w:lineRule="auto"/>
      </w:pPr>
      <w:r>
        <w:separator/>
      </w:r>
    </w:p>
  </w:endnote>
  <w:endnote w:type="continuationSeparator" w:id="0">
    <w:p w:rsidR="0095732A" w:rsidRDefault="0095732A" w:rsidP="00D80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3401328"/>
      <w:docPartObj>
        <w:docPartGallery w:val="Page Numbers (Bottom of Page)"/>
        <w:docPartUnique/>
      </w:docPartObj>
    </w:sdtPr>
    <w:sdtEndPr/>
    <w:sdtContent>
      <w:p w:rsidR="00D80298" w:rsidRDefault="00D8029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3A5" w:rsidRPr="00C943A5">
          <w:rPr>
            <w:noProof/>
            <w:lang w:val="es-ES"/>
          </w:rPr>
          <w:t>1</w:t>
        </w:r>
        <w:r>
          <w:fldChar w:fldCharType="end"/>
        </w:r>
      </w:p>
    </w:sdtContent>
  </w:sdt>
  <w:p w:rsidR="00D80298" w:rsidRDefault="00D802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32A" w:rsidRDefault="0095732A" w:rsidP="00D80298">
      <w:pPr>
        <w:spacing w:after="0" w:line="240" w:lineRule="auto"/>
      </w:pPr>
      <w:r>
        <w:separator/>
      </w:r>
    </w:p>
  </w:footnote>
  <w:footnote w:type="continuationSeparator" w:id="0">
    <w:p w:rsidR="0095732A" w:rsidRDefault="0095732A" w:rsidP="00D80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B20A7C" w:rsidRPr="004B10D1" w:rsidTr="004B00AA">
      <w:trPr>
        <w:trHeight w:val="600"/>
      </w:trPr>
      <w:tc>
        <w:tcPr>
          <w:tcW w:w="9968" w:type="dxa"/>
          <w:vAlign w:val="center"/>
        </w:tcPr>
        <w:p w:rsidR="00B20A7C" w:rsidRPr="0090363F" w:rsidRDefault="00B20A7C" w:rsidP="00B20A7C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Psicología </w:t>
          </w:r>
          <w:r>
            <w:rPr>
              <w:rFonts w:ascii="Cambria" w:hAnsi="Cambria"/>
              <w:i/>
              <w:sz w:val="24"/>
              <w:szCs w:val="26"/>
            </w:rPr>
            <w:t>social de la cultura mexicana</w:t>
          </w:r>
        </w:p>
      </w:tc>
      <w:tc>
        <w:tcPr>
          <w:tcW w:w="2786" w:type="dxa"/>
        </w:tcPr>
        <w:p w:rsidR="00B20A7C" w:rsidRPr="004B10D1" w:rsidRDefault="00B20A7C" w:rsidP="00B20A7C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79744" behindDoc="0" locked="0" layoutInCell="1" allowOverlap="1" wp14:anchorId="651098FE" wp14:editId="48CA353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B20A7C" w:rsidRDefault="00B20A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AE9E"/>
      </v:shape>
    </w:pict>
  </w:numPicBullet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1CD3"/>
    <w:multiLevelType w:val="hybridMultilevel"/>
    <w:tmpl w:val="F3AA584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08E8"/>
    <w:multiLevelType w:val="hybridMultilevel"/>
    <w:tmpl w:val="ABFA0CA4"/>
    <w:lvl w:ilvl="0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3AD0EBF"/>
    <w:multiLevelType w:val="hybridMultilevel"/>
    <w:tmpl w:val="E8DCF8B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A94C7D"/>
    <w:multiLevelType w:val="hybridMultilevel"/>
    <w:tmpl w:val="EF040484"/>
    <w:lvl w:ilvl="0" w:tplc="B49C33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B177A"/>
    <w:multiLevelType w:val="multilevel"/>
    <w:tmpl w:val="C0F06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1527F7"/>
    <w:multiLevelType w:val="hybridMultilevel"/>
    <w:tmpl w:val="39606EE8"/>
    <w:lvl w:ilvl="0" w:tplc="0B52C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71AB6"/>
    <w:multiLevelType w:val="hybridMultilevel"/>
    <w:tmpl w:val="D27A297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A17C3"/>
    <w:multiLevelType w:val="hybridMultilevel"/>
    <w:tmpl w:val="94AC109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B03E5A"/>
    <w:multiLevelType w:val="hybridMultilevel"/>
    <w:tmpl w:val="7ED2D9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35E93"/>
    <w:multiLevelType w:val="multilevel"/>
    <w:tmpl w:val="E59E9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FBB57A5"/>
    <w:multiLevelType w:val="hybridMultilevel"/>
    <w:tmpl w:val="EACAD1E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2BA7"/>
    <w:multiLevelType w:val="hybridMultilevel"/>
    <w:tmpl w:val="ABAEC84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D2004"/>
    <w:multiLevelType w:val="hybridMultilevel"/>
    <w:tmpl w:val="E7E263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C28A5"/>
    <w:multiLevelType w:val="hybridMultilevel"/>
    <w:tmpl w:val="1526DA5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03103"/>
    <w:multiLevelType w:val="hybridMultilevel"/>
    <w:tmpl w:val="0BC4BAD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B7AA2"/>
    <w:multiLevelType w:val="multilevel"/>
    <w:tmpl w:val="A1BC2C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20B3E2F"/>
    <w:multiLevelType w:val="hybridMultilevel"/>
    <w:tmpl w:val="1BC6F5E8"/>
    <w:lvl w:ilvl="0" w:tplc="8F182E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E2207"/>
    <w:multiLevelType w:val="hybridMultilevel"/>
    <w:tmpl w:val="35B2573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50E1C"/>
    <w:multiLevelType w:val="hybridMultilevel"/>
    <w:tmpl w:val="0058933A"/>
    <w:lvl w:ilvl="0" w:tplc="D06420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7C33DA"/>
    <w:multiLevelType w:val="hybridMultilevel"/>
    <w:tmpl w:val="D5966EA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EE7F26"/>
    <w:multiLevelType w:val="hybridMultilevel"/>
    <w:tmpl w:val="5C6632F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E212D"/>
    <w:multiLevelType w:val="hybridMultilevel"/>
    <w:tmpl w:val="F95A733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A1C15"/>
    <w:multiLevelType w:val="hybridMultilevel"/>
    <w:tmpl w:val="1B54DA4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A7D98"/>
    <w:multiLevelType w:val="hybridMultilevel"/>
    <w:tmpl w:val="0572586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932AE"/>
    <w:multiLevelType w:val="hybridMultilevel"/>
    <w:tmpl w:val="D616AD4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19FB"/>
    <w:multiLevelType w:val="hybridMultilevel"/>
    <w:tmpl w:val="B0AC68E8"/>
    <w:lvl w:ilvl="0" w:tplc="DBA4B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111DDA"/>
    <w:multiLevelType w:val="multilevel"/>
    <w:tmpl w:val="946EA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779306F3"/>
    <w:multiLevelType w:val="hybridMultilevel"/>
    <w:tmpl w:val="2C80725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0"/>
  </w:num>
  <w:num w:numId="5">
    <w:abstractNumId w:val="7"/>
  </w:num>
  <w:num w:numId="6">
    <w:abstractNumId w:val="24"/>
  </w:num>
  <w:num w:numId="7">
    <w:abstractNumId w:val="19"/>
  </w:num>
  <w:num w:numId="8">
    <w:abstractNumId w:val="25"/>
  </w:num>
  <w:num w:numId="9">
    <w:abstractNumId w:val="10"/>
  </w:num>
  <w:num w:numId="10">
    <w:abstractNumId w:val="5"/>
  </w:num>
  <w:num w:numId="11">
    <w:abstractNumId w:val="14"/>
  </w:num>
  <w:num w:numId="12">
    <w:abstractNumId w:val="1"/>
  </w:num>
  <w:num w:numId="13">
    <w:abstractNumId w:val="4"/>
  </w:num>
  <w:num w:numId="14">
    <w:abstractNumId w:val="23"/>
  </w:num>
  <w:num w:numId="15">
    <w:abstractNumId w:val="29"/>
  </w:num>
  <w:num w:numId="16">
    <w:abstractNumId w:val="17"/>
  </w:num>
  <w:num w:numId="17">
    <w:abstractNumId w:val="28"/>
  </w:num>
  <w:num w:numId="18">
    <w:abstractNumId w:val="6"/>
  </w:num>
  <w:num w:numId="19">
    <w:abstractNumId w:val="21"/>
  </w:num>
  <w:num w:numId="20">
    <w:abstractNumId w:val="27"/>
  </w:num>
  <w:num w:numId="21">
    <w:abstractNumId w:val="22"/>
  </w:num>
  <w:num w:numId="22">
    <w:abstractNumId w:val="8"/>
  </w:num>
  <w:num w:numId="23">
    <w:abstractNumId w:val="3"/>
  </w:num>
  <w:num w:numId="24">
    <w:abstractNumId w:val="26"/>
  </w:num>
  <w:num w:numId="25">
    <w:abstractNumId w:val="2"/>
  </w:num>
  <w:num w:numId="26">
    <w:abstractNumId w:val="15"/>
  </w:num>
  <w:num w:numId="27">
    <w:abstractNumId w:val="20"/>
  </w:num>
  <w:num w:numId="28">
    <w:abstractNumId w:val="11"/>
  </w:num>
  <w:num w:numId="29">
    <w:abstractNumId w:val="1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4620"/>
    <w:rsid w:val="00075A2A"/>
    <w:rsid w:val="00094C43"/>
    <w:rsid w:val="000C1B8E"/>
    <w:rsid w:val="00106C8A"/>
    <w:rsid w:val="00144583"/>
    <w:rsid w:val="001900EF"/>
    <w:rsid w:val="002026C8"/>
    <w:rsid w:val="00215AD5"/>
    <w:rsid w:val="0022624E"/>
    <w:rsid w:val="00240647"/>
    <w:rsid w:val="002971D6"/>
    <w:rsid w:val="002B215C"/>
    <w:rsid w:val="002C43A9"/>
    <w:rsid w:val="00305C33"/>
    <w:rsid w:val="00324C5D"/>
    <w:rsid w:val="003279BE"/>
    <w:rsid w:val="00394172"/>
    <w:rsid w:val="003A02ED"/>
    <w:rsid w:val="003B184E"/>
    <w:rsid w:val="004054EF"/>
    <w:rsid w:val="00422567"/>
    <w:rsid w:val="00434D30"/>
    <w:rsid w:val="00443E5A"/>
    <w:rsid w:val="0048317D"/>
    <w:rsid w:val="004B0FA1"/>
    <w:rsid w:val="004B6E34"/>
    <w:rsid w:val="004D310B"/>
    <w:rsid w:val="00535BAB"/>
    <w:rsid w:val="0053624A"/>
    <w:rsid w:val="00607B3E"/>
    <w:rsid w:val="0061497C"/>
    <w:rsid w:val="00653BAC"/>
    <w:rsid w:val="006D46E9"/>
    <w:rsid w:val="006F7859"/>
    <w:rsid w:val="00765B21"/>
    <w:rsid w:val="008037B2"/>
    <w:rsid w:val="00813B97"/>
    <w:rsid w:val="00877373"/>
    <w:rsid w:val="008C6000"/>
    <w:rsid w:val="008F7478"/>
    <w:rsid w:val="00901CD3"/>
    <w:rsid w:val="00956743"/>
    <w:rsid w:val="0095732A"/>
    <w:rsid w:val="00963963"/>
    <w:rsid w:val="00970AFB"/>
    <w:rsid w:val="00970BAD"/>
    <w:rsid w:val="009745D1"/>
    <w:rsid w:val="009913BB"/>
    <w:rsid w:val="00996B9F"/>
    <w:rsid w:val="009C560A"/>
    <w:rsid w:val="00A44B68"/>
    <w:rsid w:val="00A45405"/>
    <w:rsid w:val="00A525A1"/>
    <w:rsid w:val="00AC3E38"/>
    <w:rsid w:val="00AF28AF"/>
    <w:rsid w:val="00B06900"/>
    <w:rsid w:val="00B20A7C"/>
    <w:rsid w:val="00B2295D"/>
    <w:rsid w:val="00B9139E"/>
    <w:rsid w:val="00C313E7"/>
    <w:rsid w:val="00C761EF"/>
    <w:rsid w:val="00C943A5"/>
    <w:rsid w:val="00CE6902"/>
    <w:rsid w:val="00D17ACA"/>
    <w:rsid w:val="00D32918"/>
    <w:rsid w:val="00D80298"/>
    <w:rsid w:val="00D834B6"/>
    <w:rsid w:val="00DA0606"/>
    <w:rsid w:val="00DE4B9A"/>
    <w:rsid w:val="00DF4EA5"/>
    <w:rsid w:val="00E05EDE"/>
    <w:rsid w:val="00E20BBF"/>
    <w:rsid w:val="00E212F9"/>
    <w:rsid w:val="00E328B7"/>
    <w:rsid w:val="00E816F1"/>
    <w:rsid w:val="00EA73F9"/>
    <w:rsid w:val="00ED734C"/>
    <w:rsid w:val="00F138F3"/>
    <w:rsid w:val="00F54DDF"/>
    <w:rsid w:val="00FC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833B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Tablaconcuadrcula">
    <w:name w:val="Table Grid"/>
    <w:basedOn w:val="Tablanormal"/>
    <w:uiPriority w:val="59"/>
    <w:rsid w:val="00AF28AF"/>
    <w:pPr>
      <w:spacing w:after="0" w:line="240" w:lineRule="auto"/>
    </w:pPr>
    <w:rPr>
      <w:rFonts w:ascii="Optima" w:eastAsia="MS Mincho" w:hAnsi="Optima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7373"/>
    <w:pPr>
      <w:ind w:left="720"/>
      <w:contextualSpacing/>
    </w:pPr>
  </w:style>
  <w:style w:type="table" w:customStyle="1" w:styleId="Tablanormal11">
    <w:name w:val="Tabla normal 11"/>
    <w:basedOn w:val="Tablanormal"/>
    <w:uiPriority w:val="41"/>
    <w:rsid w:val="002B215C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nhideWhenUsed/>
    <w:rsid w:val="00D80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8029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80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0298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1226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Medrano</dc:creator>
  <cp:lastModifiedBy>Alberto Silva</cp:lastModifiedBy>
  <cp:revision>4</cp:revision>
  <dcterms:created xsi:type="dcterms:W3CDTF">2018-01-23T05:38:00Z</dcterms:created>
  <dcterms:modified xsi:type="dcterms:W3CDTF">2018-05-10T17:18:00Z</dcterms:modified>
</cp:coreProperties>
</file>