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2753F5" w:rsidTr="002753F5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2753F5" w:rsidTr="002753F5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2753F5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2753F5" w:rsidTr="002753F5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2753F5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2753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Ética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2753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SHLI05299</w:t>
            </w:r>
          </w:p>
        </w:tc>
      </w:tr>
      <w:tr w:rsidR="00813B97" w:rsidRPr="002753F5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2753F5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2753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2753F5" w:rsidTr="002753F5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C36F0C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PALOMA OLIVARES</w:t>
            </w:r>
          </w:p>
        </w:tc>
      </w:tr>
      <w:tr w:rsidR="00813B97" w:rsidRPr="002753F5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753F5" w:rsidTr="002753F5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753F5" w:rsidRDefault="00B41FC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753F5" w:rsidRDefault="00B41FC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753F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753F5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2753F5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753F5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2753F5" w:rsidRDefault="00B41FC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753F5" w:rsidRDefault="00B41FC2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12</w:t>
            </w:r>
            <w:r w:rsidR="00ED2E9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2753F5" w:rsidRPr="002753F5" w:rsidTr="002753F5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53F5" w:rsidRPr="002753F5" w:rsidRDefault="002753F5" w:rsidP="00275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753F5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2753F5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</w:t>
            </w:r>
            <w:r w:rsidR="00C779FE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X 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) Formativa   (    ) Metodológica</w:t>
            </w:r>
          </w:p>
        </w:tc>
      </w:tr>
      <w:tr w:rsidR="00813B97" w:rsidRPr="002753F5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C779FE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753F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General  (    ) Básica común   (     )  Básica disciplinar   (    )  Profundización </w:t>
            </w:r>
          </w:p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</w:t>
            </w:r>
            <w:proofErr w:type="gramStart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(    ) Nuclear   (      )  Investigación   (      ) Profesionalización</w:t>
            </w:r>
          </w:p>
        </w:tc>
      </w:tr>
      <w:tr w:rsidR="00813B97" w:rsidRPr="002753F5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D2E9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</w:p>
        </w:tc>
      </w:tr>
      <w:tr w:rsidR="00813B97" w:rsidRPr="002753F5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2753F5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D2E9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 (    ) Recursable  (    ) Optativa   (    ) Selectiva  (     ) Acreditable</w:t>
            </w:r>
          </w:p>
        </w:tc>
      </w:tr>
    </w:tbl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8"/>
        <w:gridCol w:w="4579"/>
      </w:tblGrid>
      <w:tr w:rsidR="00813B97" w:rsidRPr="002753F5" w:rsidTr="002753F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753F5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2753F5" w:rsidTr="002753F5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2607E" w:rsidRPr="002753F5" w:rsidRDefault="00813B97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 o experiencia en</w:t>
            </w:r>
            <w:r w:rsidR="002C6B3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Filosofía y áreas afines</w:t>
            </w:r>
            <w:r w:rsidR="00ED2E9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C17FC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Preferentemente </w:t>
            </w:r>
            <w:r w:rsidR="002C6B3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Posgrado</w:t>
            </w:r>
            <w:r w:rsidR="002C17FC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Filosofía</w:t>
            </w:r>
            <w:r w:rsidR="002C6B3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áreas afines.</w:t>
            </w:r>
          </w:p>
          <w:p w:rsidR="009A313A" w:rsidRPr="002753F5" w:rsidRDefault="009A313A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El profesor o la profesora promueve de manera activa que el estudiante lleve a la p</w:t>
            </w:r>
            <w:r w:rsidR="00412AD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ráctica los contenidos teóricos;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además</w:t>
            </w:r>
            <w:r w:rsidR="00412AD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distingue por las siguientes:</w:t>
            </w:r>
          </w:p>
          <w:p w:rsidR="00080DDD" w:rsidRPr="002753F5" w:rsidRDefault="009A313A" w:rsidP="00C2607E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  <w:u w:val="single"/>
              </w:rPr>
              <w:t>C</w:t>
            </w:r>
            <w:r w:rsidR="00C2607E" w:rsidRPr="002753F5">
              <w:rPr>
                <w:rFonts w:eastAsia="Times New Roman" w:cs="Arial"/>
                <w:bCs/>
                <w:spacing w:val="-1"/>
                <w:sz w:val="20"/>
                <w:szCs w:val="20"/>
                <w:u w:val="single"/>
              </w:rPr>
              <w:t>ompetencias genéricas</w:t>
            </w:r>
            <w:r w:rsidR="00C2607E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C2607E" w:rsidRPr="002753F5">
              <w:rPr>
                <w:rFonts w:cs="Times New Roman"/>
                <w:sz w:val="20"/>
                <w:szCs w:val="20"/>
              </w:rPr>
              <w:t>actúa bajo los principios de libertad, respeto, responsabilidad social y justicia que promueven una actuación íntegra en su desempeño profesional. Mantiene una actitud respetuosa hacia la interculturalidad y la diversidad de creencias, valores, ideas y prácticas sociales.</w:t>
            </w:r>
            <w:r w:rsidR="00C2607E" w:rsidRPr="002753F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779FE" w:rsidRPr="002753F5">
              <w:rPr>
                <w:rFonts w:cs="Times New Roman"/>
                <w:sz w:val="20"/>
                <w:szCs w:val="20"/>
              </w:rPr>
              <w:t>Elige y practica estilos de vida saludables que le permiten un desempeño académico y profesional equilibrado. Se comunica de manera oral y escrita en español y en una segunda lengua. Maneja en forma ética y socialmente responsable las tecnologías de la información en sus procesos personales, sociales y profesionales. Desarrolla un liderazgo innovador y competitivo en la disciplina, que le permite aprender continuamente sobre su person</w:t>
            </w:r>
            <w:r w:rsidR="001D2DEA" w:rsidRPr="002753F5">
              <w:rPr>
                <w:rFonts w:cs="Times New Roman"/>
                <w:sz w:val="20"/>
                <w:szCs w:val="20"/>
              </w:rPr>
              <w:t>a y su entorno,</w:t>
            </w:r>
            <w:r w:rsidR="00C779FE" w:rsidRPr="002753F5">
              <w:rPr>
                <w:rFonts w:cs="Times New Roman"/>
                <w:sz w:val="20"/>
                <w:szCs w:val="20"/>
              </w:rPr>
              <w:t xml:space="preserve"> y sobre nuevos conceptos, procesos y metodologías que le permiten aportar alternativas de solución </w:t>
            </w:r>
            <w:r w:rsidR="00C779FE" w:rsidRPr="002753F5">
              <w:rPr>
                <w:rFonts w:cs="Times New Roman"/>
                <w:sz w:val="20"/>
                <w:szCs w:val="20"/>
              </w:rPr>
              <w:lastRenderedPageBreak/>
              <w:t>y tomar decisiones con integridad moral, compromiso social y enfoque de sustentabilidad.</w:t>
            </w:r>
            <w:r w:rsidR="00C2607E" w:rsidRPr="002753F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96B9F" w:rsidRPr="002753F5" w:rsidRDefault="00080DDD" w:rsidP="00412AD4">
            <w:pPr>
              <w:spacing w:before="240" w:after="240" w:line="276" w:lineRule="auto"/>
              <w:jc w:val="both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2753F5">
              <w:rPr>
                <w:rFonts w:cs="Times New Roman"/>
                <w:sz w:val="20"/>
                <w:szCs w:val="20"/>
                <w:u w:val="single"/>
              </w:rPr>
              <w:t>Como competencias específicas</w:t>
            </w:r>
            <w:r w:rsidRPr="002753F5">
              <w:rPr>
                <w:rFonts w:cs="Times New Roman"/>
                <w:sz w:val="20"/>
                <w:szCs w:val="20"/>
              </w:rPr>
              <w:t xml:space="preserve">, </w:t>
            </w:r>
            <w:r w:rsidR="00C779FE" w:rsidRPr="002753F5">
              <w:rPr>
                <w:rFonts w:cs="Times New Roman"/>
                <w:sz w:val="20"/>
                <w:szCs w:val="20"/>
              </w:rPr>
              <w:t>Diseña y operacionaliza estrategias de enseñanza y aprendizaje según contextos</w:t>
            </w:r>
            <w:r w:rsidR="002C6B35" w:rsidRPr="002753F5">
              <w:rPr>
                <w:rFonts w:cs="Times New Roman"/>
                <w:sz w:val="20"/>
                <w:szCs w:val="20"/>
              </w:rPr>
              <w:t>.</w:t>
            </w:r>
            <w:r w:rsidR="001D2DEA" w:rsidRPr="002753F5">
              <w:rPr>
                <w:rFonts w:cs="Times New Roman"/>
                <w:sz w:val="20"/>
                <w:szCs w:val="20"/>
              </w:rPr>
              <w:t xml:space="preserve"> Crea y evalúa ambientes favorables y desafiantes para el aprendizaje. Desarrolla el pensamiento lógico, crítico y creativo de los educandos. Diseña e implementa acciones educativas que integran a personas con capacidades especiales. Educa en valores, en formación ciudadana y en democracia. Orienta y facilita con acciones educativas los procesos de cambio en la comunidad.</w:t>
            </w:r>
            <w:r w:rsidR="009A313A" w:rsidRPr="002753F5">
              <w:rPr>
                <w:rFonts w:cs="Times New Roman"/>
                <w:sz w:val="20"/>
                <w:szCs w:val="20"/>
              </w:rPr>
              <w:t xml:space="preserve"> </w:t>
            </w:r>
            <w:r w:rsidR="001D2DEA" w:rsidRPr="002753F5">
              <w:rPr>
                <w:rFonts w:cs="Times New Roman"/>
                <w:sz w:val="20"/>
                <w:szCs w:val="20"/>
              </w:rPr>
              <w:t xml:space="preserve">Genera e implementa estrategias educativas que respondan a la diversidad </w:t>
            </w:r>
            <w:proofErr w:type="gramStart"/>
            <w:r w:rsidR="001D2DEA" w:rsidRPr="002753F5">
              <w:rPr>
                <w:rFonts w:cs="Times New Roman"/>
                <w:sz w:val="20"/>
                <w:szCs w:val="20"/>
              </w:rPr>
              <w:t>socio-cultural</w:t>
            </w:r>
            <w:proofErr w:type="gramEnd"/>
            <w:r w:rsidR="001D2DEA" w:rsidRPr="002753F5">
              <w:rPr>
                <w:rFonts w:cs="Times New Roman"/>
                <w:sz w:val="20"/>
                <w:szCs w:val="20"/>
              </w:rPr>
              <w:t>. R</w:t>
            </w:r>
            <w:r w:rsidR="00C2607E" w:rsidRPr="002753F5">
              <w:rPr>
                <w:rFonts w:cs="Times New Roman"/>
                <w:sz w:val="20"/>
                <w:szCs w:val="20"/>
              </w:rPr>
              <w:t>eflexiona sobre su práctica docente, e incorpora elementos innovadores que contribuyan a su mejora continua.</w:t>
            </w:r>
            <w:r w:rsidR="00C2607E" w:rsidRPr="002753F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2753F5">
              <w:rPr>
                <w:rFonts w:cs="Times New Roman"/>
                <w:sz w:val="20"/>
                <w:szCs w:val="20"/>
              </w:rPr>
              <w:t>Diseña y emplea diferentes ambientes, herramientas y recursos didácticos.</w:t>
            </w:r>
            <w:r w:rsidR="00C2607E" w:rsidRPr="002753F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2753F5">
              <w:rPr>
                <w:rFonts w:cs="Times New Roman"/>
                <w:sz w:val="20"/>
                <w:szCs w:val="20"/>
              </w:rPr>
              <w:t>Planifica los procesos de enseñanza y aprendizaje.</w:t>
            </w:r>
            <w:r w:rsidR="00C2607E" w:rsidRPr="002753F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2753F5">
              <w:rPr>
                <w:rFonts w:cs="Times New Roman"/>
                <w:sz w:val="20"/>
                <w:szCs w:val="20"/>
              </w:rPr>
              <w:t>Promueve y planifica el trabajo autónomo del estudiante</w:t>
            </w:r>
            <w:r w:rsidRPr="002753F5">
              <w:rPr>
                <w:rFonts w:cs="Times New Roman"/>
                <w:sz w:val="20"/>
                <w:szCs w:val="20"/>
              </w:rPr>
              <w:t>,</w:t>
            </w:r>
            <w:r w:rsidR="000B0223" w:rsidRPr="002753F5">
              <w:rPr>
                <w:rFonts w:cs="Times New Roman"/>
                <w:sz w:val="20"/>
                <w:szCs w:val="20"/>
              </w:rPr>
              <w:t xml:space="preserve"> </w:t>
            </w:r>
            <w:r w:rsidR="00C2607E" w:rsidRPr="002753F5">
              <w:rPr>
                <w:rFonts w:cs="Times New Roman"/>
                <w:sz w:val="20"/>
                <w:szCs w:val="20"/>
              </w:rPr>
              <w:t xml:space="preserve">haciendo uso de </w:t>
            </w:r>
            <w:r w:rsidRPr="002753F5">
              <w:rPr>
                <w:rFonts w:cs="Times New Roman"/>
                <w:sz w:val="20"/>
                <w:szCs w:val="20"/>
              </w:rPr>
              <w:t xml:space="preserve">diversas </w:t>
            </w:r>
            <w:r w:rsidR="00C2607E" w:rsidRPr="002753F5">
              <w:rPr>
                <w:rFonts w:cs="Times New Roman"/>
                <w:sz w:val="20"/>
                <w:szCs w:val="20"/>
              </w:rPr>
              <w:t>metodologías de aprendizaje.</w:t>
            </w:r>
            <w:r w:rsidR="00C2607E" w:rsidRPr="002753F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2753F5">
              <w:rPr>
                <w:rFonts w:cs="Times New Roman"/>
                <w:sz w:val="20"/>
                <w:szCs w:val="20"/>
              </w:rPr>
              <w:t>Planifica el proceso de valoración del desempeño académico de los estudiantes, mediante el diseño de los instrumentos apropiados a los diferentes tipos de evaluación (diagnóstica, continua y sumativa) para promover la formación integral del estudiante.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753F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</w:tcPr>
          <w:p w:rsidR="002753F5" w:rsidRDefault="00813B97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 competencia genérica:</w:t>
            </w:r>
            <w:r w:rsidR="00C2607E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813B97" w:rsidRPr="002753F5" w:rsidRDefault="002753F5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1D2DEA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justicia, para contribuir como agente de transformación al desarrollo de su entorno.</w:t>
            </w:r>
          </w:p>
          <w:p w:rsidR="002753F5" w:rsidRDefault="002753F5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2753F5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competencia específica del programa:</w:t>
            </w:r>
            <w:r w:rsidR="00552B6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813B97" w:rsidRPr="002753F5" w:rsidRDefault="002753F5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="001D2DEA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996B9F" w:rsidRPr="002753F5" w:rsidRDefault="00996B9F" w:rsidP="00D13567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753F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</w:tcPr>
          <w:p w:rsidR="00813B97" w:rsidRPr="002753F5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552B6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 transversalidad.</w:t>
            </w:r>
          </w:p>
          <w:p w:rsidR="00813B97" w:rsidRPr="002753F5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80DDD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</w:t>
            </w:r>
            <w:r w:rsidR="00727897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8357EA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descubrir y actualizar</w:t>
            </w:r>
            <w:r w:rsidR="00450A4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valores y pautas de comportamiento virtuosas, que </w:t>
            </w:r>
            <w:r w:rsidR="00935BAF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 nivel individual </w:t>
            </w:r>
            <w:r w:rsidR="00450A4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le conduzcan</w:t>
            </w:r>
            <w:r w:rsidR="00DD38BA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450A45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a una vida plena</w:t>
            </w:r>
            <w:r w:rsidR="00935BAF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“que valga la pena ser vivida”;</w:t>
            </w:r>
            <w:r w:rsidR="00DD38BA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 nivel social, a la convivencia armónica</w:t>
            </w:r>
            <w:r w:rsidR="00D46764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participativa</w:t>
            </w:r>
            <w:r w:rsidR="00DD38BA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 sus semejantes y con su entorno.</w:t>
            </w:r>
            <w:r w:rsidR="00727897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813B97" w:rsidRPr="002753F5" w:rsidRDefault="009A313A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D70CFC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sugiere se curse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5ta</w:t>
            </w:r>
            <w:r w:rsidR="00080DDD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  <w:r w:rsidR="00813B97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inscripción</w:t>
            </w:r>
            <w:r w:rsidR="00813B97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</w:t>
            </w:r>
            <w:r w:rsidR="00BE2B8B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todas las unidades de aprendizaje.</w:t>
            </w:r>
          </w:p>
          <w:p w:rsidR="00996B9F" w:rsidRPr="002753F5" w:rsidRDefault="00D70CFC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Se ubica en el área general</w:t>
            </w:r>
            <w:r w:rsidR="00ED2D61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2753F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  <w:vAlign w:val="center"/>
          </w:tcPr>
          <w:p w:rsidR="00F54DDF" w:rsidRPr="002753F5" w:rsidRDefault="0065134A" w:rsidP="002753F5">
            <w:pPr>
              <w:pStyle w:val="Prrafodelista"/>
              <w:numPr>
                <w:ilvl w:val="0"/>
                <w:numId w:val="8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Respecto a las competencias genéricas</w:t>
            </w:r>
            <w:r w:rsidR="004156E3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, I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mplementa estrategias educativas que respondan a la diversidad </w:t>
            </w:r>
            <w:proofErr w:type="gramStart"/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socio-cultural</w:t>
            </w:r>
            <w:proofErr w:type="gramEnd"/>
            <w:r w:rsidR="005D3107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, para que el estudiante desarrolle actitudes de justicia, solidaridad, apoyo, tolerancia y empatía a los grupos menos favorecidos.</w:t>
            </w: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65134A" w:rsidRPr="002753F5" w:rsidRDefault="0065134A" w:rsidP="002753F5">
            <w:pPr>
              <w:pStyle w:val="Prrafodelista"/>
              <w:numPr>
                <w:ilvl w:val="0"/>
                <w:numId w:val="8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lo que toca a las competencias específicas, </w:t>
            </w:r>
            <w:r w:rsidR="00D471B2" w:rsidRPr="002753F5">
              <w:rPr>
                <w:rFonts w:eastAsia="Times New Roman" w:cs="Arial"/>
                <w:bCs/>
                <w:spacing w:val="-1"/>
                <w:sz w:val="20"/>
                <w:szCs w:val="20"/>
              </w:rPr>
              <w:t>Al educar en valores, en formación ciudadana y en democracia, favorece el conocimiento, comprensión y aplicación de normas que regulan y armonizan la vida en sociedad.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2753F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2753F5" w:rsidTr="002753F5">
        <w:trPr>
          <w:jc w:val="center"/>
        </w:trPr>
        <w:tc>
          <w:tcPr>
            <w:tcW w:w="5000" w:type="pct"/>
            <w:gridSpan w:val="2"/>
            <w:vAlign w:val="center"/>
          </w:tcPr>
          <w:p w:rsidR="00367ACF" w:rsidRPr="002753F5" w:rsidRDefault="00367ACF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77"/>
              <w:gridCol w:w="2436"/>
              <w:gridCol w:w="1745"/>
              <w:gridCol w:w="1461"/>
              <w:gridCol w:w="1832"/>
            </w:tblGrid>
            <w:tr w:rsidR="00ED2D61" w:rsidRPr="002753F5" w:rsidTr="00422B52">
              <w:trPr>
                <w:jc w:val="center"/>
              </w:trPr>
              <w:tc>
                <w:tcPr>
                  <w:tcW w:w="1478" w:type="dxa"/>
                </w:tcPr>
                <w:p w:rsidR="00422B52" w:rsidRPr="002753F5" w:rsidRDefault="00422B52" w:rsidP="00B05BEF">
                  <w:pPr>
                    <w:ind w:left="206"/>
                    <w:rPr>
                      <w:b/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>Introducción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¿Para qué sirve la ética? </w:t>
                  </w:r>
                </w:p>
                <w:p w:rsidR="007073FE" w:rsidRPr="002753F5" w:rsidRDefault="007073FE" w:rsidP="00B05BEF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La Ética en el mundo de hoy.</w:t>
                  </w:r>
                </w:p>
                <w:p w:rsidR="007073FE" w:rsidRPr="002753F5" w:rsidRDefault="00422B52" w:rsidP="00B05BEF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Orige</w:t>
                  </w:r>
                  <w:r w:rsidR="007073FE" w:rsidRPr="002753F5">
                    <w:rPr>
                      <w:sz w:val="20"/>
                      <w:szCs w:val="20"/>
                    </w:rPr>
                    <w:t>n y ubicación filosófica de la É</w:t>
                  </w:r>
                  <w:r w:rsidRPr="002753F5">
                    <w:rPr>
                      <w:sz w:val="20"/>
                      <w:szCs w:val="20"/>
                    </w:rPr>
                    <w:t>tica. Definición.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Dios, Hombre, Mundo. El lugar del hombre en el cosmos. 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El problema del mal. </w:t>
                  </w:r>
                </w:p>
                <w:p w:rsidR="007073FE" w:rsidRPr="002753F5" w:rsidRDefault="007073FE" w:rsidP="007073FE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El </w:t>
                  </w:r>
                  <w:proofErr w:type="gramStart"/>
                  <w:r w:rsidRPr="002753F5">
                    <w:rPr>
                      <w:sz w:val="20"/>
                      <w:szCs w:val="20"/>
                    </w:rPr>
                    <w:t>bien  ¿</w:t>
                  </w:r>
                  <w:proofErr w:type="gramEnd"/>
                  <w:r w:rsidRPr="002753F5">
                    <w:rPr>
                      <w:sz w:val="20"/>
                      <w:szCs w:val="20"/>
                    </w:rPr>
                    <w:t>fin o deber?</w:t>
                  </w:r>
                </w:p>
                <w:p w:rsidR="00422B52" w:rsidRPr="002753F5" w:rsidRDefault="00422B52" w:rsidP="007073FE">
                  <w:pPr>
                    <w:numPr>
                      <w:ilvl w:val="0"/>
                      <w:numId w:val="1"/>
                    </w:numPr>
                    <w:ind w:left="240" w:hanging="240"/>
                    <w:jc w:val="both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La búsqueda de sí mismo.</w:t>
                  </w:r>
                </w:p>
              </w:tc>
              <w:tc>
                <w:tcPr>
                  <w:tcW w:w="2076" w:type="dxa"/>
                </w:tcPr>
                <w:p w:rsidR="00422B52" w:rsidRPr="002753F5" w:rsidRDefault="00422B52" w:rsidP="00B05BEF">
                  <w:pPr>
                    <w:numPr>
                      <w:ilvl w:val="0"/>
                      <w:numId w:val="2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>Fundamentos</w:t>
                  </w:r>
                </w:p>
                <w:p w:rsidR="00422B52" w:rsidRPr="002753F5" w:rsidRDefault="00422B52" w:rsidP="00B05BEF">
                  <w:pPr>
                    <w:ind w:left="36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22B52" w:rsidRPr="002753F5" w:rsidRDefault="00422B52" w:rsidP="00B05BEF">
                  <w:pPr>
                    <w:rPr>
                      <w:b/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>De individuo a persona</w:t>
                  </w:r>
                </w:p>
                <w:p w:rsidR="00422B52" w:rsidRPr="002753F5" w:rsidRDefault="00422B52" w:rsidP="00B05BEF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422B52" w:rsidRPr="002753F5" w:rsidRDefault="00422B52" w:rsidP="00B05BEF">
                  <w:pPr>
                    <w:numPr>
                      <w:ilvl w:val="0"/>
                      <w:numId w:val="3"/>
                    </w:numPr>
                    <w:ind w:left="30" w:hanging="30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Estructura de la naturaleza humana </w:t>
                  </w:r>
                  <w:r w:rsidRPr="002753F5">
                    <w:rPr>
                      <w:b/>
                      <w:sz w:val="20"/>
                      <w:szCs w:val="20"/>
                    </w:rPr>
                    <w:t xml:space="preserve">2) </w:t>
                  </w:r>
                  <w:r w:rsidRPr="002753F5">
                    <w:rPr>
                      <w:sz w:val="20"/>
                      <w:szCs w:val="20"/>
                    </w:rPr>
                    <w:t xml:space="preserve">Estructura de la naturaleza humana II.  </w:t>
                  </w:r>
                </w:p>
                <w:p w:rsidR="00422B52" w:rsidRPr="002753F5" w:rsidRDefault="00422B52" w:rsidP="00B05BEF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 xml:space="preserve">3) </w:t>
                  </w:r>
                  <w:r w:rsidRPr="002753F5">
                    <w:rPr>
                      <w:sz w:val="20"/>
                      <w:szCs w:val="20"/>
                    </w:rPr>
                    <w:t xml:space="preserve">Conciencia moral  </w:t>
                  </w:r>
                </w:p>
                <w:p w:rsidR="00422B52" w:rsidRPr="002753F5" w:rsidRDefault="00422B52" w:rsidP="00B05BEF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Conformación del </w:t>
                  </w:r>
                  <w:r w:rsidRPr="002753F5">
                    <w:rPr>
                      <w:i/>
                      <w:sz w:val="20"/>
                      <w:szCs w:val="20"/>
                    </w:rPr>
                    <w:t>ethos.</w:t>
                  </w:r>
                  <w:r w:rsidRPr="002753F5">
                    <w:rPr>
                      <w:sz w:val="20"/>
                      <w:szCs w:val="20"/>
                    </w:rPr>
                    <w:t xml:space="preserve"> </w:t>
                  </w:r>
                </w:p>
                <w:p w:rsidR="00422B52" w:rsidRPr="002753F5" w:rsidRDefault="00422B52" w:rsidP="00B05BEF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 xml:space="preserve">4) </w:t>
                  </w:r>
                  <w:r w:rsidRPr="002753F5">
                    <w:rPr>
                      <w:sz w:val="20"/>
                      <w:szCs w:val="20"/>
                    </w:rPr>
                    <w:t xml:space="preserve">El proceso de convertirse en persona. </w:t>
                  </w:r>
                </w:p>
                <w:p w:rsidR="00422B52" w:rsidRPr="002753F5" w:rsidRDefault="00422B52" w:rsidP="00B05BEF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 xml:space="preserve">5) </w:t>
                  </w:r>
                  <w:r w:rsidRPr="002753F5">
                    <w:rPr>
                      <w:sz w:val="20"/>
                      <w:szCs w:val="20"/>
                    </w:rPr>
                    <w:t>Naturaleza humana, dignidad y educación.</w:t>
                  </w:r>
                </w:p>
                <w:p w:rsidR="00422B52" w:rsidRPr="002753F5" w:rsidRDefault="00422B52" w:rsidP="00B05B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6" w:type="dxa"/>
                </w:tcPr>
                <w:p w:rsidR="00422B52" w:rsidRPr="002753F5" w:rsidRDefault="00422B52" w:rsidP="00B05BEF">
                  <w:pPr>
                    <w:pStyle w:val="Prrafodelista"/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360"/>
                    </w:tabs>
                    <w:ind w:left="189" w:right="215" w:firstLine="17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>Ética fundamental, principios básicos</w:t>
                  </w:r>
                </w:p>
                <w:p w:rsidR="00422B52" w:rsidRPr="002753F5" w:rsidRDefault="00422B52" w:rsidP="00B05BEF">
                  <w:pPr>
                    <w:ind w:left="36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22B52" w:rsidRPr="002753F5" w:rsidRDefault="00422B52" w:rsidP="00B05BEF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1. Deducción racional de los principios éticos. </w:t>
                  </w:r>
                </w:p>
                <w:p w:rsidR="00422B52" w:rsidRPr="002753F5" w:rsidRDefault="00422B52" w:rsidP="00B05BEF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2. Desarrollo del </w:t>
                  </w:r>
                  <w:r w:rsidRPr="002753F5">
                    <w:rPr>
                      <w:i/>
                      <w:sz w:val="20"/>
                      <w:szCs w:val="20"/>
                    </w:rPr>
                    <w:t>ethos</w:t>
                  </w:r>
                  <w:r w:rsidRPr="002753F5">
                    <w:rPr>
                      <w:sz w:val="20"/>
                      <w:szCs w:val="20"/>
                    </w:rPr>
                    <w:t xml:space="preserve">; teoría de las virtudes y de los vicios. </w:t>
                  </w:r>
                </w:p>
                <w:p w:rsidR="00422B52" w:rsidRPr="002753F5" w:rsidRDefault="00422B52" w:rsidP="00B05BEF">
                  <w:pPr>
                    <w:ind w:left="184" w:hanging="184"/>
                    <w:rPr>
                      <w:i/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3.  Teoría de los valores. </w:t>
                  </w:r>
                </w:p>
                <w:p w:rsidR="00422B52" w:rsidRPr="002753F5" w:rsidRDefault="00422B52" w:rsidP="00B05BEF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4.  Libertad. Noción</w:t>
                  </w:r>
                  <w:r w:rsidR="007073FE" w:rsidRPr="002753F5">
                    <w:rPr>
                      <w:sz w:val="20"/>
                      <w:szCs w:val="20"/>
                    </w:rPr>
                    <w:t xml:space="preserve">, </w:t>
                  </w:r>
                  <w:proofErr w:type="gramStart"/>
                  <w:r w:rsidRPr="002753F5">
                    <w:rPr>
                      <w:sz w:val="20"/>
                      <w:szCs w:val="20"/>
                    </w:rPr>
                    <w:t>clasificación  y</w:t>
                  </w:r>
                  <w:proofErr w:type="gramEnd"/>
                  <w:r w:rsidRPr="002753F5">
                    <w:rPr>
                      <w:sz w:val="20"/>
                      <w:szCs w:val="20"/>
                    </w:rPr>
                    <w:t xml:space="preserve"> características. Límites. </w:t>
                  </w:r>
                </w:p>
                <w:p w:rsidR="00422B52" w:rsidRPr="002753F5" w:rsidRDefault="00422B52" w:rsidP="00B05BEF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5.  Amor: </w:t>
                  </w:r>
                  <w:r w:rsidRPr="002753F5">
                    <w:rPr>
                      <w:i/>
                      <w:sz w:val="20"/>
                      <w:szCs w:val="20"/>
                    </w:rPr>
                    <w:t xml:space="preserve">Eros, </w:t>
                  </w:r>
                  <w:proofErr w:type="spellStart"/>
                  <w:r w:rsidRPr="002753F5">
                    <w:rPr>
                      <w:i/>
                      <w:sz w:val="20"/>
                      <w:szCs w:val="20"/>
                    </w:rPr>
                    <w:t>philía</w:t>
                  </w:r>
                  <w:proofErr w:type="spellEnd"/>
                  <w:r w:rsidRPr="002753F5">
                    <w:rPr>
                      <w:i/>
                      <w:sz w:val="20"/>
                      <w:szCs w:val="20"/>
                    </w:rPr>
                    <w:t xml:space="preserve">, ágape. </w:t>
                  </w:r>
                  <w:r w:rsidRPr="002753F5">
                    <w:rPr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  <w:p w:rsidR="00422B52" w:rsidRPr="002753F5" w:rsidRDefault="00422B52" w:rsidP="00B05BEF">
                  <w:pPr>
                    <w:ind w:left="184" w:hanging="18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6.  Justicia conmutativa y justicia distributiva.</w:t>
                  </w:r>
                </w:p>
                <w:p w:rsidR="00422B52" w:rsidRPr="002753F5" w:rsidRDefault="00422B52" w:rsidP="00B05B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</w:tcPr>
                <w:p w:rsidR="00422B52" w:rsidRPr="002753F5" w:rsidRDefault="00422B52" w:rsidP="00B05BE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53F5">
                    <w:rPr>
                      <w:b/>
                      <w:sz w:val="20"/>
                      <w:szCs w:val="20"/>
                    </w:rPr>
                    <w:t>(C) Ética social: el bien común</w:t>
                  </w:r>
                </w:p>
                <w:p w:rsidR="00422B52" w:rsidRPr="002753F5" w:rsidRDefault="00422B52" w:rsidP="00B05BEF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  </w:t>
                  </w:r>
                </w:p>
                <w:p w:rsidR="00422B52" w:rsidRPr="002753F5" w:rsidRDefault="00422B52" w:rsidP="00B05BEF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1. El bien. Jerarquía de los bienes.</w:t>
                  </w:r>
                </w:p>
                <w:p w:rsidR="00422B52" w:rsidRPr="002753F5" w:rsidRDefault="00422B52" w:rsidP="00C32608">
                  <w:pPr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2. Análisis </w:t>
                  </w:r>
                  <w:r w:rsidR="00CC4631" w:rsidRPr="002753F5">
                    <w:rPr>
                      <w:sz w:val="20"/>
                      <w:szCs w:val="20"/>
                    </w:rPr>
                    <w:t xml:space="preserve">y comparación </w:t>
                  </w:r>
                  <w:r w:rsidRPr="002753F5">
                    <w:rPr>
                      <w:sz w:val="20"/>
                      <w:szCs w:val="20"/>
                    </w:rPr>
                    <w:t>de los mínimos de bienestar:  ONU, Banco Mundial</w:t>
                  </w:r>
                  <w:r w:rsidR="00CC4631" w:rsidRPr="002753F5">
                    <w:rPr>
                      <w:sz w:val="20"/>
                      <w:szCs w:val="20"/>
                    </w:rPr>
                    <w:t xml:space="preserve">, Amartya </w:t>
                  </w:r>
                  <w:proofErr w:type="spellStart"/>
                  <w:proofErr w:type="gramStart"/>
                  <w:r w:rsidR="00CC4631" w:rsidRPr="002753F5">
                    <w:rPr>
                      <w:sz w:val="20"/>
                      <w:szCs w:val="20"/>
                    </w:rPr>
                    <w:t>Sen</w:t>
                  </w:r>
                  <w:proofErr w:type="spellEnd"/>
                  <w:r w:rsidR="00CC4631" w:rsidRPr="002753F5">
                    <w:rPr>
                      <w:sz w:val="20"/>
                      <w:szCs w:val="20"/>
                    </w:rPr>
                    <w:t>,  Marta</w:t>
                  </w:r>
                  <w:proofErr w:type="gramEnd"/>
                  <w:r w:rsidR="00CC4631" w:rsidRPr="002753F5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C4631" w:rsidRPr="002753F5">
                    <w:rPr>
                      <w:sz w:val="20"/>
                      <w:szCs w:val="20"/>
                    </w:rPr>
                    <w:t>Nusbaum</w:t>
                  </w:r>
                  <w:proofErr w:type="spellEnd"/>
                  <w:r w:rsidR="00CC4631" w:rsidRPr="002753F5">
                    <w:rPr>
                      <w:sz w:val="20"/>
                      <w:szCs w:val="20"/>
                    </w:rPr>
                    <w:t>, culturas</w:t>
                  </w:r>
                  <w:r w:rsidR="00C32608" w:rsidRPr="002753F5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32608" w:rsidRPr="002753F5">
                    <w:rPr>
                      <w:sz w:val="20"/>
                      <w:szCs w:val="20"/>
                    </w:rPr>
                    <w:t>latinoamericas</w:t>
                  </w:r>
                  <w:proofErr w:type="spellEnd"/>
                  <w:r w:rsidR="00C32608" w:rsidRPr="002753F5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06" w:type="dxa"/>
                </w:tcPr>
                <w:p w:rsidR="00422B52" w:rsidRPr="002753F5" w:rsidRDefault="00422B52" w:rsidP="00B05BEF">
                  <w:pPr>
                    <w:ind w:left="304" w:hanging="633"/>
                    <w:jc w:val="center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(</w:t>
                  </w:r>
                  <w:r w:rsidRPr="002753F5">
                    <w:rPr>
                      <w:b/>
                      <w:sz w:val="20"/>
                      <w:szCs w:val="20"/>
                    </w:rPr>
                    <w:t>D) Temas de ética aplicada</w:t>
                  </w:r>
                </w:p>
                <w:p w:rsidR="00422B52" w:rsidRPr="002753F5" w:rsidRDefault="00422B52" w:rsidP="00B05BEF">
                  <w:pPr>
                    <w:ind w:left="304" w:hanging="36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22B52" w:rsidRPr="002753F5" w:rsidRDefault="00422B52" w:rsidP="00B05BEF">
                  <w:pPr>
                    <w:numPr>
                      <w:ilvl w:val="0"/>
                      <w:numId w:val="5"/>
                    </w:numPr>
                    <w:tabs>
                      <w:tab w:val="clear" w:pos="720"/>
                      <w:tab w:val="num" w:pos="378"/>
                    </w:tabs>
                    <w:ind w:hanging="720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Sexualidad.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5"/>
                    </w:numPr>
                    <w:tabs>
                      <w:tab w:val="clear" w:pos="720"/>
                      <w:tab w:val="num" w:pos="378"/>
                    </w:tabs>
                    <w:ind w:hanging="720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Violencia. 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5"/>
                    </w:numPr>
                    <w:tabs>
                      <w:tab w:val="clear" w:pos="720"/>
                      <w:tab w:val="num" w:pos="304"/>
                    </w:tabs>
                    <w:ind w:left="304" w:hanging="30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Niños de la calle 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5"/>
                    </w:numPr>
                    <w:tabs>
                      <w:tab w:val="clear" w:pos="720"/>
                      <w:tab w:val="num" w:pos="304"/>
                    </w:tabs>
                    <w:ind w:left="304" w:hanging="30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Indiferencia / Depresión. </w:t>
                  </w:r>
                </w:p>
                <w:p w:rsidR="00422B52" w:rsidRPr="002753F5" w:rsidRDefault="00422B52" w:rsidP="00B05BEF">
                  <w:pPr>
                    <w:numPr>
                      <w:ilvl w:val="0"/>
                      <w:numId w:val="5"/>
                    </w:numPr>
                    <w:tabs>
                      <w:tab w:val="clear" w:pos="720"/>
                      <w:tab w:val="num" w:pos="304"/>
                    </w:tabs>
                    <w:ind w:left="304" w:hanging="30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 xml:space="preserve">Adicciones </w:t>
                  </w:r>
                  <w:r w:rsidRPr="002753F5">
                    <w:rPr>
                      <w:sz w:val="20"/>
                      <w:szCs w:val="20"/>
                      <w:highlight w:val="cyan"/>
                    </w:rPr>
                    <w:t xml:space="preserve"> </w:t>
                  </w:r>
                </w:p>
                <w:p w:rsidR="00422B52" w:rsidRPr="002753F5" w:rsidRDefault="00B41FC2" w:rsidP="00B05BEF">
                  <w:pPr>
                    <w:numPr>
                      <w:ilvl w:val="0"/>
                      <w:numId w:val="5"/>
                    </w:numPr>
                    <w:tabs>
                      <w:tab w:val="clear" w:pos="720"/>
                      <w:tab w:val="num" w:pos="304"/>
                    </w:tabs>
                    <w:ind w:left="304" w:hanging="304"/>
                    <w:rPr>
                      <w:sz w:val="20"/>
                      <w:szCs w:val="20"/>
                    </w:rPr>
                  </w:pPr>
                  <w:r w:rsidRPr="002753F5">
                    <w:rPr>
                      <w:sz w:val="20"/>
                      <w:szCs w:val="20"/>
                    </w:rPr>
                    <w:t>Sus</w:t>
                  </w:r>
                  <w:r w:rsidR="00D70CFC" w:rsidRPr="002753F5">
                    <w:rPr>
                      <w:sz w:val="20"/>
                      <w:szCs w:val="20"/>
                    </w:rPr>
                    <w:t>t</w:t>
                  </w:r>
                  <w:r w:rsidRPr="002753F5">
                    <w:rPr>
                      <w:sz w:val="20"/>
                      <w:szCs w:val="20"/>
                    </w:rPr>
                    <w:t>entabilidad</w:t>
                  </w:r>
                  <w:r w:rsidR="00422B52" w:rsidRPr="002753F5">
                    <w:rPr>
                      <w:sz w:val="20"/>
                      <w:szCs w:val="20"/>
                    </w:rPr>
                    <w:t>: nuestra responsabilidad con el mundo.</w:t>
                  </w:r>
                  <w:r w:rsidRPr="002753F5">
                    <w:rPr>
                      <w:sz w:val="20"/>
                      <w:szCs w:val="20"/>
                    </w:rPr>
                    <w:t xml:space="preserve">; análisis de la Carta de la Tierra. </w:t>
                  </w:r>
                </w:p>
              </w:tc>
            </w:tr>
          </w:tbl>
          <w:p w:rsidR="00813B97" w:rsidRPr="002753F5" w:rsidRDefault="00813B9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2753F5" w:rsidTr="002753F5">
        <w:trPr>
          <w:jc w:val="center"/>
        </w:trPr>
        <w:tc>
          <w:tcPr>
            <w:tcW w:w="2505" w:type="pct"/>
            <w:shd w:val="clear" w:color="auto" w:fill="5B9BD5" w:themeFill="accent5"/>
            <w:vAlign w:val="center"/>
          </w:tcPr>
          <w:p w:rsidR="00813B97" w:rsidRPr="002753F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95" w:type="pct"/>
            <w:shd w:val="clear" w:color="auto" w:fill="5B9BD5" w:themeFill="accent5"/>
            <w:vAlign w:val="center"/>
          </w:tcPr>
          <w:p w:rsidR="00813B97" w:rsidRPr="002753F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2753F5" w:rsidTr="002753F5">
        <w:trPr>
          <w:jc w:val="center"/>
        </w:trPr>
        <w:tc>
          <w:tcPr>
            <w:tcW w:w="2505" w:type="pct"/>
            <w:vAlign w:val="center"/>
          </w:tcPr>
          <w:p w:rsidR="00B05BEF" w:rsidRPr="002753F5" w:rsidRDefault="00B05BEF" w:rsidP="00B05BEF">
            <w:pPr>
              <w:numPr>
                <w:ilvl w:val="0"/>
                <w:numId w:val="6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Lecturas.</w:t>
            </w:r>
          </w:p>
          <w:p w:rsidR="00B05BEF" w:rsidRPr="002753F5" w:rsidRDefault="00B05BEF" w:rsidP="00B05BEF">
            <w:pPr>
              <w:framePr w:hSpace="180" w:wrap="around" w:vAnchor="page" w:hAnchor="margin" w:y="1618"/>
              <w:numPr>
                <w:ilvl w:val="0"/>
                <w:numId w:val="6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Exposición de tema.</w:t>
            </w:r>
          </w:p>
          <w:p w:rsidR="00B05BEF" w:rsidRPr="002753F5" w:rsidRDefault="00B05BEF" w:rsidP="00B05BEF">
            <w:pPr>
              <w:framePr w:hSpace="180" w:wrap="around" w:vAnchor="page" w:hAnchor="margin" w:y="1618"/>
              <w:numPr>
                <w:ilvl w:val="0"/>
                <w:numId w:val="6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Puestas en común y discusiones.</w:t>
            </w:r>
          </w:p>
          <w:p w:rsidR="00813B97" w:rsidRPr="002753F5" w:rsidRDefault="00B05BEF" w:rsidP="00ED2D61">
            <w:pPr>
              <w:framePr w:hSpace="180" w:wrap="around" w:vAnchor="page" w:hAnchor="margin" w:y="1618"/>
              <w:numPr>
                <w:ilvl w:val="0"/>
                <w:numId w:val="6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Elaboración de mapas mental, conceptual y cuadro sinóptico de cada tema.</w:t>
            </w:r>
          </w:p>
        </w:tc>
        <w:tc>
          <w:tcPr>
            <w:tcW w:w="2495" w:type="pct"/>
            <w:vAlign w:val="center"/>
          </w:tcPr>
          <w:p w:rsidR="00B05BEF" w:rsidRPr="002753F5" w:rsidRDefault="00B05BEF" w:rsidP="00B05BEF">
            <w:pPr>
              <w:numPr>
                <w:ilvl w:val="0"/>
                <w:numId w:val="6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Videos PowerPoint.</w:t>
            </w:r>
          </w:p>
          <w:p w:rsidR="00B05BEF" w:rsidRPr="002753F5" w:rsidRDefault="00B05BEF" w:rsidP="00B05BEF">
            <w:pPr>
              <w:numPr>
                <w:ilvl w:val="0"/>
                <w:numId w:val="6"/>
              </w:numPr>
              <w:tabs>
                <w:tab w:val="clear" w:pos="926"/>
                <w:tab w:val="num" w:pos="252"/>
              </w:tabs>
              <w:spacing w:after="0" w:line="240" w:lineRule="auto"/>
              <w:ind w:left="252" w:hanging="252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Películas y/o documentales.</w:t>
            </w:r>
          </w:p>
          <w:p w:rsidR="00813B97" w:rsidRPr="002753F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753F5" w:rsidTr="002753F5">
        <w:trPr>
          <w:jc w:val="center"/>
        </w:trPr>
        <w:tc>
          <w:tcPr>
            <w:tcW w:w="2505" w:type="pct"/>
            <w:shd w:val="clear" w:color="auto" w:fill="5B9BD5" w:themeFill="accent5"/>
            <w:vAlign w:val="center"/>
          </w:tcPr>
          <w:p w:rsidR="00813B97" w:rsidRPr="002753F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95" w:type="pct"/>
            <w:shd w:val="clear" w:color="auto" w:fill="5B9BD5" w:themeFill="accent5"/>
            <w:vAlign w:val="center"/>
          </w:tcPr>
          <w:p w:rsidR="00813B97" w:rsidRPr="002753F5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2753F5" w:rsidTr="002753F5">
        <w:trPr>
          <w:jc w:val="center"/>
        </w:trPr>
        <w:tc>
          <w:tcPr>
            <w:tcW w:w="2505" w:type="pct"/>
          </w:tcPr>
          <w:p w:rsidR="00422B52" w:rsidRPr="002753F5" w:rsidRDefault="00422B52" w:rsidP="00422B52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Presentación de reflexiones, </w:t>
            </w:r>
            <w:proofErr w:type="gramStart"/>
            <w:r w:rsidRPr="002753F5">
              <w:rPr>
                <w:sz w:val="20"/>
                <w:szCs w:val="20"/>
              </w:rPr>
              <w:t>cuadros  y</w:t>
            </w:r>
            <w:proofErr w:type="gramEnd"/>
            <w:r w:rsidRPr="002753F5">
              <w:rPr>
                <w:sz w:val="20"/>
                <w:szCs w:val="20"/>
              </w:rPr>
              <w:t xml:space="preserve"> reportes, videos y puestas en común.</w:t>
            </w:r>
          </w:p>
          <w:p w:rsidR="00BB381C" w:rsidRPr="002753F5" w:rsidRDefault="00422B52" w:rsidP="00422B5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Elaboración del código de conducta autónomo. </w:t>
            </w:r>
          </w:p>
        </w:tc>
        <w:tc>
          <w:tcPr>
            <w:tcW w:w="2495" w:type="pct"/>
          </w:tcPr>
          <w:p w:rsidR="00422B52" w:rsidRPr="002753F5" w:rsidRDefault="000F22F0" w:rsidP="00422B52">
            <w:pPr>
              <w:spacing w:after="0" w:line="240" w:lineRule="auto"/>
              <w:ind w:left="-34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1 </w:t>
            </w:r>
            <w:proofErr w:type="gramStart"/>
            <w:r w:rsidRPr="002753F5">
              <w:rPr>
                <w:sz w:val="20"/>
                <w:szCs w:val="20"/>
              </w:rPr>
              <w:t>Examen</w:t>
            </w:r>
            <w:proofErr w:type="gramEnd"/>
            <w:r w:rsidRPr="002753F5">
              <w:rPr>
                <w:sz w:val="20"/>
                <w:szCs w:val="20"/>
              </w:rPr>
              <w:t xml:space="preserve"> parcial</w:t>
            </w:r>
            <w:r w:rsidR="00422B52" w:rsidRPr="002753F5">
              <w:rPr>
                <w:sz w:val="20"/>
                <w:szCs w:val="20"/>
              </w:rPr>
              <w:t>:</w:t>
            </w:r>
          </w:p>
          <w:p w:rsidR="00422B52" w:rsidRPr="002753F5" w:rsidRDefault="00AC61CC" w:rsidP="00422B52">
            <w:pPr>
              <w:numPr>
                <w:ilvl w:val="2"/>
                <w:numId w:val="7"/>
              </w:numPr>
              <w:tabs>
                <w:tab w:val="clear" w:pos="2366"/>
              </w:tabs>
              <w:spacing w:after="0" w:line="240" w:lineRule="auto"/>
              <w:ind w:left="365" w:hanging="365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1 </w:t>
            </w:r>
            <w:proofErr w:type="gramStart"/>
            <w:r w:rsidRPr="002753F5">
              <w:rPr>
                <w:sz w:val="20"/>
                <w:szCs w:val="20"/>
              </w:rPr>
              <w:t>Examen</w:t>
            </w:r>
            <w:proofErr w:type="gramEnd"/>
            <w:r w:rsidRPr="002753F5">
              <w:rPr>
                <w:sz w:val="20"/>
                <w:szCs w:val="20"/>
              </w:rPr>
              <w:t xml:space="preserve"> teórico.</w:t>
            </w:r>
            <w:r w:rsidR="00422B52" w:rsidRPr="002753F5">
              <w:rPr>
                <w:sz w:val="20"/>
                <w:szCs w:val="20"/>
              </w:rPr>
              <w:t xml:space="preserve"> </w:t>
            </w:r>
          </w:p>
          <w:p w:rsidR="00422B52" w:rsidRPr="002753F5" w:rsidRDefault="00422B52" w:rsidP="00851DB9">
            <w:pPr>
              <w:numPr>
                <w:ilvl w:val="2"/>
                <w:numId w:val="7"/>
              </w:numPr>
              <w:tabs>
                <w:tab w:val="clear" w:pos="2366"/>
              </w:tabs>
              <w:spacing w:after="0" w:line="240" w:lineRule="auto"/>
              <w:ind w:left="365" w:hanging="365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Participación en las puestas en común.</w:t>
            </w:r>
          </w:p>
          <w:p w:rsidR="00422B52" w:rsidRPr="002753F5" w:rsidRDefault="00422B52" w:rsidP="00422B52">
            <w:pPr>
              <w:spacing w:after="0" w:line="240" w:lineRule="auto"/>
              <w:ind w:left="365"/>
              <w:rPr>
                <w:sz w:val="20"/>
                <w:szCs w:val="20"/>
              </w:rPr>
            </w:pPr>
          </w:p>
          <w:p w:rsidR="00422B52" w:rsidRPr="002753F5" w:rsidRDefault="00422B52" w:rsidP="00422B52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Examen final: </w:t>
            </w:r>
          </w:p>
          <w:p w:rsidR="00422B52" w:rsidRPr="002753F5" w:rsidRDefault="00422B52" w:rsidP="00422B52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2753F5">
              <w:rPr>
                <w:sz w:val="20"/>
                <w:szCs w:val="20"/>
                <w:u w:val="single"/>
              </w:rPr>
              <w:t xml:space="preserve">Parte teórica.  </w:t>
            </w:r>
            <w:r w:rsidR="00A41CCD" w:rsidRPr="002753F5">
              <w:rPr>
                <w:sz w:val="20"/>
                <w:szCs w:val="20"/>
                <w:u w:val="single"/>
              </w:rPr>
              <w:t xml:space="preserve"> </w:t>
            </w:r>
            <w:r w:rsidRPr="002753F5">
              <w:rPr>
                <w:sz w:val="20"/>
                <w:szCs w:val="20"/>
                <w:u w:val="single"/>
              </w:rPr>
              <w:t xml:space="preserve">Opciones: </w:t>
            </w:r>
          </w:p>
          <w:p w:rsidR="00422B52" w:rsidRPr="002753F5" w:rsidRDefault="00422B52" w:rsidP="00422B52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1. Ensayo sobre algún tema de ética. (Introducción, desarrollo, conclusión. Extensión: entre siete y diez cuartillas). </w:t>
            </w:r>
          </w:p>
          <w:p w:rsidR="00422B52" w:rsidRPr="002753F5" w:rsidRDefault="00ED2D61" w:rsidP="00422B52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2. Capítulo</w:t>
            </w:r>
            <w:r w:rsidR="00422B52" w:rsidRPr="002753F5">
              <w:rPr>
                <w:sz w:val="20"/>
                <w:szCs w:val="20"/>
              </w:rPr>
              <w:t xml:space="preserve"> ético del tema de tesis.</w:t>
            </w:r>
          </w:p>
          <w:p w:rsidR="00422B52" w:rsidRPr="002753F5" w:rsidRDefault="00ED2D61" w:rsidP="00422B52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3. Estudio</w:t>
            </w:r>
            <w:r w:rsidR="00B41FC2" w:rsidRPr="002753F5">
              <w:rPr>
                <w:sz w:val="20"/>
                <w:szCs w:val="20"/>
              </w:rPr>
              <w:t xml:space="preserve"> comparativo de la Carta de la Tierra y el </w:t>
            </w:r>
            <w:proofErr w:type="gramStart"/>
            <w:r w:rsidR="00B41FC2" w:rsidRPr="002753F5">
              <w:rPr>
                <w:sz w:val="20"/>
                <w:szCs w:val="20"/>
              </w:rPr>
              <w:t xml:space="preserve">Manifiesto </w:t>
            </w:r>
            <w:r w:rsidRPr="002753F5">
              <w:rPr>
                <w:sz w:val="20"/>
                <w:szCs w:val="20"/>
              </w:rPr>
              <w:t xml:space="preserve"> de</w:t>
            </w:r>
            <w:proofErr w:type="gramEnd"/>
            <w:r w:rsidRPr="002753F5">
              <w:rPr>
                <w:sz w:val="20"/>
                <w:szCs w:val="20"/>
              </w:rPr>
              <w:t xml:space="preserve"> Ética por la sustentabilidad.</w:t>
            </w:r>
          </w:p>
          <w:p w:rsidR="00422B52" w:rsidRPr="002753F5" w:rsidRDefault="00422B52" w:rsidP="00422B52">
            <w:pPr>
              <w:spacing w:after="0" w:line="240" w:lineRule="auto"/>
              <w:rPr>
                <w:sz w:val="20"/>
                <w:szCs w:val="20"/>
              </w:rPr>
            </w:pPr>
          </w:p>
          <w:p w:rsidR="00AC61CC" w:rsidRPr="002753F5" w:rsidRDefault="00AC61CC" w:rsidP="00422B52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Ponderación según consenso.</w:t>
            </w:r>
          </w:p>
          <w:p w:rsidR="00AC61CC" w:rsidRPr="002753F5" w:rsidRDefault="00AC61CC" w:rsidP="00422B52">
            <w:pPr>
              <w:spacing w:after="0" w:line="240" w:lineRule="auto"/>
              <w:rPr>
                <w:sz w:val="20"/>
                <w:szCs w:val="20"/>
              </w:rPr>
            </w:pPr>
          </w:p>
          <w:p w:rsidR="00813B97" w:rsidRPr="002753F5" w:rsidRDefault="00422B52" w:rsidP="00422B52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753F5">
              <w:rPr>
                <w:sz w:val="20"/>
                <w:szCs w:val="20"/>
                <w:u w:val="single"/>
              </w:rPr>
              <w:t>Parte práctica:</w:t>
            </w:r>
            <w:r w:rsidRPr="002753F5">
              <w:rPr>
                <w:sz w:val="20"/>
                <w:szCs w:val="20"/>
              </w:rPr>
              <w:t xml:space="preserve"> Autoevaluación: transformación del </w:t>
            </w:r>
            <w:r w:rsidRPr="002753F5">
              <w:rPr>
                <w:i/>
                <w:sz w:val="20"/>
                <w:szCs w:val="20"/>
              </w:rPr>
              <w:t>ethos</w:t>
            </w:r>
            <w:r w:rsidRPr="002753F5">
              <w:rPr>
                <w:sz w:val="20"/>
                <w:szCs w:val="20"/>
              </w:rPr>
              <w:t>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813B97" w:rsidRPr="002753F5" w:rsidTr="002753F5">
        <w:tc>
          <w:tcPr>
            <w:tcW w:w="5000" w:type="pct"/>
            <w:gridSpan w:val="2"/>
            <w:shd w:val="clear" w:color="auto" w:fill="5B9BD5" w:themeFill="accent5"/>
          </w:tcPr>
          <w:p w:rsidR="00813B97" w:rsidRPr="002753F5" w:rsidRDefault="00813B97" w:rsidP="002753F5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2753F5" w:rsidTr="002753F5">
        <w:tc>
          <w:tcPr>
            <w:tcW w:w="2579" w:type="pct"/>
            <w:shd w:val="clear" w:color="auto" w:fill="5B9BD5" w:themeFill="accent5"/>
          </w:tcPr>
          <w:p w:rsidR="00813B97" w:rsidRPr="002753F5" w:rsidRDefault="00996B9F" w:rsidP="002753F5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2753F5" w:rsidRDefault="00996B9F" w:rsidP="002753F5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753F5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2753F5" w:rsidTr="002753F5">
        <w:tc>
          <w:tcPr>
            <w:tcW w:w="2579" w:type="pct"/>
          </w:tcPr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  <w:lang w:val="pt-BR"/>
              </w:rPr>
            </w:pPr>
            <w:r w:rsidRPr="002753F5">
              <w:rPr>
                <w:sz w:val="20"/>
                <w:szCs w:val="20"/>
              </w:rPr>
              <w:t xml:space="preserve">ARISTÓTELES (2000) </w:t>
            </w:r>
            <w:proofErr w:type="spellStart"/>
            <w:r w:rsidRPr="002753F5">
              <w:rPr>
                <w:i/>
                <w:sz w:val="20"/>
                <w:szCs w:val="20"/>
              </w:rPr>
              <w:t>Ètica</w:t>
            </w:r>
            <w:proofErr w:type="spellEnd"/>
            <w:r w:rsidRPr="002753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2753F5">
              <w:rPr>
                <w:i/>
                <w:sz w:val="20"/>
                <w:szCs w:val="20"/>
              </w:rPr>
              <w:t>Nicomaquea</w:t>
            </w:r>
            <w:proofErr w:type="spellEnd"/>
            <w:r w:rsidRPr="002753F5">
              <w:rPr>
                <w:sz w:val="20"/>
                <w:szCs w:val="20"/>
              </w:rPr>
              <w:t xml:space="preserve">. </w:t>
            </w:r>
            <w:r w:rsidRPr="002753F5">
              <w:rPr>
                <w:sz w:val="20"/>
                <w:szCs w:val="20"/>
                <w:lang w:val="pt-BR"/>
              </w:rPr>
              <w:t xml:space="preserve">México, UNAM, Biblioteca </w:t>
            </w:r>
            <w:proofErr w:type="spellStart"/>
            <w:r w:rsidRPr="002753F5">
              <w:rPr>
                <w:i/>
                <w:sz w:val="20"/>
                <w:szCs w:val="20"/>
                <w:lang w:val="pt-BR"/>
              </w:rPr>
              <w:t>scriptorum</w:t>
            </w:r>
            <w:proofErr w:type="spellEnd"/>
            <w:r w:rsidRPr="002753F5">
              <w:rPr>
                <w:i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2753F5">
              <w:rPr>
                <w:i/>
                <w:sz w:val="20"/>
                <w:szCs w:val="20"/>
                <w:lang w:val="pt-BR"/>
              </w:rPr>
              <w:t>graecorum</w:t>
            </w:r>
            <w:proofErr w:type="spellEnd"/>
            <w:r w:rsidRPr="002753F5">
              <w:rPr>
                <w:i/>
                <w:sz w:val="20"/>
                <w:szCs w:val="20"/>
                <w:lang w:val="pt-BR"/>
              </w:rPr>
              <w:t xml:space="preserve"> et </w:t>
            </w:r>
            <w:proofErr w:type="spellStart"/>
            <w:r w:rsidRPr="002753F5">
              <w:rPr>
                <w:i/>
                <w:sz w:val="20"/>
                <w:szCs w:val="20"/>
                <w:lang w:val="pt-BR"/>
              </w:rPr>
              <w:t>romanorum</w:t>
            </w:r>
            <w:proofErr w:type="spellEnd"/>
            <w:r w:rsidRPr="002753F5">
              <w:rPr>
                <w:sz w:val="20"/>
                <w:szCs w:val="20"/>
                <w:lang w:val="pt-BR"/>
              </w:rPr>
              <w:t xml:space="preserve"> mexicana.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CORTINA, Adela (2000). </w:t>
            </w:r>
            <w:r w:rsidRPr="002753F5">
              <w:rPr>
                <w:i/>
                <w:sz w:val="20"/>
                <w:szCs w:val="20"/>
              </w:rPr>
              <w:t>Ética mínima</w:t>
            </w:r>
            <w:r w:rsidRPr="002753F5">
              <w:rPr>
                <w:sz w:val="20"/>
                <w:szCs w:val="20"/>
              </w:rPr>
              <w:t xml:space="preserve">. </w:t>
            </w:r>
            <w:r w:rsidRPr="002753F5">
              <w:rPr>
                <w:i/>
                <w:sz w:val="20"/>
                <w:szCs w:val="20"/>
              </w:rPr>
              <w:t>Introducción a la filosofía práctica</w:t>
            </w:r>
            <w:r w:rsidRPr="002753F5">
              <w:rPr>
                <w:sz w:val="20"/>
                <w:szCs w:val="20"/>
              </w:rPr>
              <w:t xml:space="preserve">. </w:t>
            </w:r>
            <w:proofErr w:type="gramStart"/>
            <w:r w:rsidRPr="002753F5">
              <w:rPr>
                <w:sz w:val="20"/>
                <w:szCs w:val="20"/>
              </w:rPr>
              <w:t>Madrid,  Technos</w:t>
            </w:r>
            <w:proofErr w:type="gramEnd"/>
            <w:r w:rsidRPr="002753F5">
              <w:rPr>
                <w:sz w:val="20"/>
                <w:szCs w:val="20"/>
              </w:rPr>
              <w:t>.</w:t>
            </w:r>
          </w:p>
          <w:p w:rsidR="00280B03" w:rsidRPr="002753F5" w:rsidRDefault="00280B03" w:rsidP="002753F5">
            <w:pPr>
              <w:spacing w:after="0" w:line="240" w:lineRule="auto"/>
              <w:rPr>
                <w:i/>
                <w:sz w:val="20"/>
                <w:szCs w:val="20"/>
                <w:lang w:val="pt-BR"/>
              </w:rPr>
            </w:pPr>
            <w:r w:rsidRPr="002753F5">
              <w:rPr>
                <w:sz w:val="20"/>
                <w:szCs w:val="20"/>
              </w:rPr>
              <w:t xml:space="preserve">─, y Emilio Martínez (2001). </w:t>
            </w:r>
            <w:r w:rsidRPr="002753F5">
              <w:rPr>
                <w:i/>
                <w:sz w:val="20"/>
                <w:szCs w:val="20"/>
              </w:rPr>
              <w:t>Ética</w:t>
            </w:r>
            <w:r w:rsidRPr="002753F5">
              <w:rPr>
                <w:sz w:val="20"/>
                <w:szCs w:val="20"/>
              </w:rPr>
              <w:t>. Madrid, Akal.</w:t>
            </w:r>
          </w:p>
          <w:p w:rsidR="00280B03" w:rsidRPr="002753F5" w:rsidRDefault="00280B03" w:rsidP="002753F5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FERRATER MORA, </w:t>
            </w:r>
            <w:r w:rsidRPr="002753F5">
              <w:rPr>
                <w:i/>
                <w:sz w:val="20"/>
                <w:szCs w:val="20"/>
              </w:rPr>
              <w:t>Diccionario de filosofía.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FROMM, Erich. </w:t>
            </w:r>
            <w:r w:rsidRPr="002753F5">
              <w:rPr>
                <w:i/>
                <w:sz w:val="20"/>
                <w:szCs w:val="20"/>
              </w:rPr>
              <w:t xml:space="preserve">El corazón del hombre. </w:t>
            </w:r>
            <w:r w:rsidRPr="002753F5">
              <w:rPr>
                <w:sz w:val="20"/>
                <w:szCs w:val="20"/>
              </w:rPr>
              <w:t xml:space="preserve">Cualquier edición. 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─, </w:t>
            </w:r>
            <w:r w:rsidRPr="002753F5">
              <w:rPr>
                <w:i/>
                <w:sz w:val="20"/>
                <w:szCs w:val="20"/>
              </w:rPr>
              <w:t>El arte de amar?</w:t>
            </w:r>
            <w:r w:rsidRPr="002753F5">
              <w:rPr>
                <w:sz w:val="20"/>
                <w:szCs w:val="20"/>
              </w:rPr>
              <w:t xml:space="preserve"> Cualquier edición.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─, </w:t>
            </w:r>
            <w:r w:rsidRPr="002753F5">
              <w:rPr>
                <w:i/>
                <w:sz w:val="20"/>
                <w:szCs w:val="20"/>
              </w:rPr>
              <w:t>¿Tener o ser?</w:t>
            </w:r>
            <w:r w:rsidRPr="002753F5">
              <w:rPr>
                <w:sz w:val="20"/>
                <w:szCs w:val="20"/>
              </w:rPr>
              <w:t xml:space="preserve"> Cualquier edición.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KANT, Emmanuel (1994), </w:t>
            </w:r>
            <w:r w:rsidRPr="002753F5">
              <w:rPr>
                <w:i/>
                <w:sz w:val="20"/>
                <w:szCs w:val="20"/>
              </w:rPr>
              <w:t>Fundamentación de la metafísica de las cost</w:t>
            </w:r>
            <w:bookmarkStart w:id="1" w:name="_GoBack"/>
            <w:bookmarkEnd w:id="1"/>
            <w:r w:rsidRPr="002753F5">
              <w:rPr>
                <w:i/>
                <w:sz w:val="20"/>
                <w:szCs w:val="20"/>
              </w:rPr>
              <w:t>umbres</w:t>
            </w:r>
            <w:r w:rsidRPr="002753F5">
              <w:rPr>
                <w:sz w:val="20"/>
                <w:szCs w:val="20"/>
              </w:rPr>
              <w:t>. Madrid, Technos.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MARTÍNEZ HUERTA, Miguel (2003). </w:t>
            </w:r>
            <w:r w:rsidRPr="002753F5">
              <w:rPr>
                <w:i/>
                <w:sz w:val="20"/>
                <w:szCs w:val="20"/>
              </w:rPr>
              <w:t xml:space="preserve">Ética con los clásicos. </w:t>
            </w:r>
            <w:r w:rsidRPr="002753F5">
              <w:rPr>
                <w:sz w:val="20"/>
                <w:szCs w:val="20"/>
              </w:rPr>
              <w:t>México, Plaza y Valdés, Ed.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NUSSBAUM Martha, (1998). </w:t>
            </w:r>
            <w:r w:rsidRPr="002753F5">
              <w:rPr>
                <w:i/>
                <w:sz w:val="20"/>
                <w:szCs w:val="20"/>
              </w:rPr>
              <w:t>Capacidades humanas y justicia social. En defensa del esencialismo aristotélico</w:t>
            </w:r>
            <w:r w:rsidRPr="002753F5">
              <w:rPr>
                <w:sz w:val="20"/>
                <w:szCs w:val="20"/>
              </w:rPr>
              <w:t>. Madrid, Los libros de la catarata.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FRONDIZI, </w:t>
            </w:r>
            <w:proofErr w:type="spellStart"/>
            <w:proofErr w:type="gramStart"/>
            <w:r w:rsidRPr="002753F5">
              <w:rPr>
                <w:sz w:val="20"/>
                <w:szCs w:val="20"/>
              </w:rPr>
              <w:t>Risieri</w:t>
            </w:r>
            <w:proofErr w:type="spellEnd"/>
            <w:r w:rsidRPr="002753F5">
              <w:rPr>
                <w:sz w:val="20"/>
                <w:szCs w:val="20"/>
              </w:rPr>
              <w:t xml:space="preserve">  (</w:t>
            </w:r>
            <w:proofErr w:type="gramEnd"/>
            <w:r w:rsidRPr="002753F5">
              <w:rPr>
                <w:sz w:val="20"/>
                <w:szCs w:val="20"/>
              </w:rPr>
              <w:t xml:space="preserve">1997). </w:t>
            </w:r>
            <w:r w:rsidRPr="002753F5">
              <w:rPr>
                <w:i/>
                <w:sz w:val="20"/>
                <w:szCs w:val="20"/>
              </w:rPr>
              <w:t>¿Qué son los valores?</w:t>
            </w:r>
            <w:r w:rsidRPr="002753F5">
              <w:rPr>
                <w:sz w:val="20"/>
                <w:szCs w:val="20"/>
              </w:rPr>
              <w:t xml:space="preserve"> México, FCE.</w:t>
            </w:r>
          </w:p>
          <w:p w:rsidR="00996B9F" w:rsidRPr="002753F5" w:rsidRDefault="00280B03" w:rsidP="002753F5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Aquino, Tomás de (1986) </w:t>
            </w:r>
            <w:r w:rsidRPr="002753F5">
              <w:rPr>
                <w:i/>
                <w:sz w:val="20"/>
                <w:szCs w:val="20"/>
              </w:rPr>
              <w:t>Tratado de la justicia</w:t>
            </w:r>
            <w:r w:rsidRPr="002753F5">
              <w:rPr>
                <w:sz w:val="20"/>
                <w:szCs w:val="20"/>
              </w:rPr>
              <w:t>. México, Porrúa.</w:t>
            </w:r>
          </w:p>
        </w:tc>
        <w:tc>
          <w:tcPr>
            <w:tcW w:w="2421" w:type="pct"/>
          </w:tcPr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Aquino, Tomás de.  </w:t>
            </w:r>
            <w:proofErr w:type="spellStart"/>
            <w:r w:rsidRPr="002753F5">
              <w:rPr>
                <w:i/>
                <w:sz w:val="20"/>
                <w:szCs w:val="20"/>
              </w:rPr>
              <w:t>Summa</w:t>
            </w:r>
            <w:proofErr w:type="spellEnd"/>
            <w:r w:rsidRPr="002753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2753F5">
              <w:rPr>
                <w:i/>
                <w:sz w:val="20"/>
                <w:szCs w:val="20"/>
              </w:rPr>
              <w:t>Theologiæ</w:t>
            </w:r>
            <w:proofErr w:type="spellEnd"/>
            <w:r w:rsidRPr="002753F5">
              <w:rPr>
                <w:i/>
                <w:sz w:val="20"/>
                <w:szCs w:val="20"/>
              </w:rPr>
              <w:t xml:space="preserve">, I.II, </w:t>
            </w:r>
            <w:r w:rsidRPr="002753F5">
              <w:rPr>
                <w:sz w:val="20"/>
                <w:szCs w:val="20"/>
              </w:rPr>
              <w:t xml:space="preserve">disponible en </w:t>
            </w:r>
            <w:hyperlink r:id="rId8" w:history="1">
              <w:r w:rsidRPr="002753F5">
                <w:rPr>
                  <w:rStyle w:val="Hipervnculo"/>
                  <w:color w:val="auto"/>
                  <w:sz w:val="20"/>
                  <w:szCs w:val="20"/>
                </w:rPr>
                <w:t>http://biblioteca.campusdominicano.org/2.pdf</w:t>
              </w:r>
            </w:hyperlink>
            <w:r w:rsidRPr="002753F5">
              <w:rPr>
                <w:sz w:val="20"/>
                <w:szCs w:val="20"/>
              </w:rPr>
              <w:t>.</w:t>
            </w:r>
          </w:p>
          <w:p w:rsidR="00280B03" w:rsidRPr="002753F5" w:rsidRDefault="00280B03" w:rsidP="002753F5">
            <w:pPr>
              <w:spacing w:after="0" w:line="240" w:lineRule="auto"/>
              <w:rPr>
                <w:sz w:val="20"/>
                <w:szCs w:val="20"/>
              </w:rPr>
            </w:pPr>
          </w:p>
          <w:p w:rsidR="00280B03" w:rsidRPr="002753F5" w:rsidRDefault="00993B75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CORTINA, Adela</w:t>
            </w:r>
            <w:r w:rsidR="00280B03" w:rsidRPr="002753F5">
              <w:rPr>
                <w:sz w:val="20"/>
                <w:szCs w:val="20"/>
              </w:rPr>
              <w:t xml:space="preserve">, </w:t>
            </w:r>
            <w:r w:rsidR="00280B03" w:rsidRPr="002753F5">
              <w:rPr>
                <w:i/>
                <w:sz w:val="20"/>
                <w:szCs w:val="20"/>
              </w:rPr>
              <w:t>¿Para qué sirve la ética?</w:t>
            </w:r>
            <w:r w:rsidR="00280B03" w:rsidRPr="002753F5">
              <w:rPr>
                <w:sz w:val="20"/>
                <w:szCs w:val="20"/>
              </w:rPr>
              <w:t xml:space="preserve"> Video</w:t>
            </w:r>
            <w:r w:rsidR="00A41CCD" w:rsidRPr="002753F5">
              <w:rPr>
                <w:sz w:val="20"/>
                <w:szCs w:val="20"/>
              </w:rPr>
              <w:t>s</w:t>
            </w:r>
            <w:r w:rsidR="00280B03" w:rsidRPr="002753F5">
              <w:rPr>
                <w:sz w:val="20"/>
                <w:szCs w:val="20"/>
              </w:rPr>
              <w:t xml:space="preserve"> disponible</w:t>
            </w:r>
            <w:r w:rsidR="00A41CCD" w:rsidRPr="002753F5">
              <w:rPr>
                <w:sz w:val="20"/>
                <w:szCs w:val="20"/>
              </w:rPr>
              <w:t>s</w:t>
            </w:r>
            <w:r w:rsidR="00280B03" w:rsidRPr="002753F5">
              <w:rPr>
                <w:sz w:val="20"/>
                <w:szCs w:val="20"/>
              </w:rPr>
              <w:t xml:space="preserve"> en </w:t>
            </w:r>
            <w:hyperlink r:id="rId9" w:history="1">
              <w:r w:rsidR="00A41CCD" w:rsidRPr="002753F5">
                <w:rPr>
                  <w:rStyle w:val="Hipervnculo"/>
                  <w:color w:val="auto"/>
                  <w:sz w:val="20"/>
                  <w:szCs w:val="20"/>
                </w:rPr>
                <w:t>https://www.youtube.com/watch?v=F3LXHC6CMyc</w:t>
              </w:r>
            </w:hyperlink>
          </w:p>
          <w:p w:rsidR="00A41CCD" w:rsidRPr="002753F5" w:rsidRDefault="00A41CCD" w:rsidP="002753F5">
            <w:pPr>
              <w:spacing w:after="0" w:line="240" w:lineRule="auto"/>
              <w:rPr>
                <w:sz w:val="20"/>
                <w:szCs w:val="20"/>
              </w:rPr>
            </w:pPr>
          </w:p>
          <w:p w:rsidR="00A41CCD" w:rsidRPr="002753F5" w:rsidRDefault="00993B75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 xml:space="preserve">SAVATER, </w:t>
            </w:r>
            <w:r w:rsidR="00A41CCD" w:rsidRPr="002753F5">
              <w:rPr>
                <w:sz w:val="20"/>
                <w:szCs w:val="20"/>
              </w:rPr>
              <w:t xml:space="preserve">Fernando, </w:t>
            </w:r>
            <w:r w:rsidR="00A41CCD" w:rsidRPr="002753F5">
              <w:rPr>
                <w:i/>
                <w:sz w:val="20"/>
                <w:szCs w:val="20"/>
              </w:rPr>
              <w:t>Ética en el mundo de hoy.</w:t>
            </w:r>
            <w:r w:rsidR="00A41CCD" w:rsidRPr="002753F5">
              <w:rPr>
                <w:sz w:val="20"/>
                <w:szCs w:val="20"/>
              </w:rPr>
              <w:t xml:space="preserve"> Video disponible en </w:t>
            </w:r>
            <w:hyperlink r:id="rId10" w:history="1">
              <w:r w:rsidR="00A41CCD" w:rsidRPr="002753F5">
                <w:rPr>
                  <w:rStyle w:val="Hipervnculo"/>
                  <w:color w:val="auto"/>
                  <w:sz w:val="20"/>
                  <w:szCs w:val="20"/>
                </w:rPr>
                <w:t>https://www.youtube.com/watch?v=dyUVu61l2rE</w:t>
              </w:r>
            </w:hyperlink>
            <w:r w:rsidR="00A41CCD" w:rsidRPr="002753F5">
              <w:rPr>
                <w:sz w:val="20"/>
                <w:szCs w:val="20"/>
              </w:rPr>
              <w:t>.</w:t>
            </w:r>
          </w:p>
          <w:p w:rsidR="00A41CCD" w:rsidRPr="002753F5" w:rsidRDefault="00A41CCD" w:rsidP="002753F5">
            <w:pPr>
              <w:spacing w:after="0" w:line="240" w:lineRule="auto"/>
              <w:rPr>
                <w:sz w:val="20"/>
                <w:szCs w:val="20"/>
              </w:rPr>
            </w:pPr>
          </w:p>
          <w:p w:rsidR="00280B03" w:rsidRPr="002753F5" w:rsidRDefault="00AC61CC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La Carta de la Tierra</w:t>
            </w:r>
          </w:p>
          <w:p w:rsidR="00AC61CC" w:rsidRPr="002753F5" w:rsidRDefault="00AC61CC" w:rsidP="002753F5">
            <w:pPr>
              <w:spacing w:after="0" w:line="240" w:lineRule="auto"/>
              <w:rPr>
                <w:sz w:val="20"/>
                <w:szCs w:val="20"/>
              </w:rPr>
            </w:pPr>
          </w:p>
          <w:p w:rsidR="00AC61CC" w:rsidRPr="002753F5" w:rsidRDefault="00993B75" w:rsidP="002753F5">
            <w:pPr>
              <w:spacing w:after="0" w:line="240" w:lineRule="auto"/>
              <w:rPr>
                <w:sz w:val="20"/>
                <w:szCs w:val="20"/>
              </w:rPr>
            </w:pPr>
            <w:r w:rsidRPr="002753F5">
              <w:rPr>
                <w:sz w:val="20"/>
                <w:szCs w:val="20"/>
              </w:rPr>
              <w:t>Código de É</w:t>
            </w:r>
            <w:r w:rsidR="00AC61CC" w:rsidRPr="002753F5">
              <w:rPr>
                <w:sz w:val="20"/>
                <w:szCs w:val="20"/>
              </w:rPr>
              <w:t>tica de la Universidad de Guanajuato</w:t>
            </w:r>
            <w:r w:rsidRPr="002753F5">
              <w:rPr>
                <w:sz w:val="20"/>
                <w:szCs w:val="20"/>
              </w:rPr>
              <w:t>.</w:t>
            </w:r>
          </w:p>
          <w:p w:rsidR="00813B97" w:rsidRPr="002753F5" w:rsidRDefault="00813B97" w:rsidP="002753F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AC61CC" w:rsidRPr="002753F5" w:rsidRDefault="00AC61CC" w:rsidP="002753F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2753F5" w:rsidRDefault="00813B97">
      <w:pPr>
        <w:rPr>
          <w:sz w:val="20"/>
          <w:szCs w:val="20"/>
        </w:rPr>
      </w:pPr>
    </w:p>
    <w:sectPr w:rsidR="00813B97" w:rsidRPr="002753F5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39A" w:rsidRDefault="0076139A" w:rsidP="002753F5">
      <w:pPr>
        <w:spacing w:after="0" w:line="240" w:lineRule="auto"/>
      </w:pPr>
      <w:r>
        <w:separator/>
      </w:r>
    </w:p>
  </w:endnote>
  <w:endnote w:type="continuationSeparator" w:id="0">
    <w:p w:rsidR="0076139A" w:rsidRDefault="0076139A" w:rsidP="0027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39A" w:rsidRDefault="0076139A" w:rsidP="002753F5">
      <w:pPr>
        <w:spacing w:after="0" w:line="240" w:lineRule="auto"/>
      </w:pPr>
      <w:r>
        <w:separator/>
      </w:r>
    </w:p>
  </w:footnote>
  <w:footnote w:type="continuationSeparator" w:id="0">
    <w:p w:rsidR="0076139A" w:rsidRDefault="0076139A" w:rsidP="00275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2753F5" w:rsidRPr="004B10D1" w:rsidTr="008B1952">
      <w:trPr>
        <w:trHeight w:val="600"/>
      </w:trPr>
      <w:tc>
        <w:tcPr>
          <w:tcW w:w="9968" w:type="dxa"/>
          <w:vAlign w:val="center"/>
        </w:tcPr>
        <w:p w:rsidR="002753F5" w:rsidRPr="0090363F" w:rsidRDefault="002753F5" w:rsidP="002753F5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Ética</w:t>
          </w:r>
        </w:p>
      </w:tc>
      <w:tc>
        <w:tcPr>
          <w:tcW w:w="2786" w:type="dxa"/>
        </w:tcPr>
        <w:p w:rsidR="002753F5" w:rsidRPr="004B10D1" w:rsidRDefault="002753F5" w:rsidP="002753F5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65D0176" wp14:editId="290DD260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2753F5" w:rsidRDefault="002753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373AF"/>
    <w:multiLevelType w:val="hybridMultilevel"/>
    <w:tmpl w:val="C3C8474C"/>
    <w:lvl w:ilvl="0" w:tplc="B16C1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831384"/>
    <w:multiLevelType w:val="hybridMultilevel"/>
    <w:tmpl w:val="AAD67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82111"/>
    <w:multiLevelType w:val="hybridMultilevel"/>
    <w:tmpl w:val="87F89BC0"/>
    <w:lvl w:ilvl="0" w:tplc="0C0A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AC819FE">
      <w:start w:val="1"/>
      <w:numFmt w:val="decimal"/>
      <w:lvlText w:val="%2)"/>
      <w:lvlJc w:val="left"/>
      <w:pPr>
        <w:tabs>
          <w:tab w:val="num" w:pos="1646"/>
        </w:tabs>
        <w:ind w:left="1646" w:hanging="360"/>
      </w:pPr>
      <w:rPr>
        <w:rFonts w:hint="default"/>
        <w:b w:val="0"/>
      </w:rPr>
    </w:lvl>
    <w:lvl w:ilvl="2" w:tplc="0C0A000B">
      <w:start w:val="1"/>
      <w:numFmt w:val="bullet"/>
      <w:lvlText w:val="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5EDF4CD4"/>
    <w:multiLevelType w:val="hybridMultilevel"/>
    <w:tmpl w:val="6292D75C"/>
    <w:lvl w:ilvl="0" w:tplc="87ECDEB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C7C06"/>
    <w:multiLevelType w:val="hybridMultilevel"/>
    <w:tmpl w:val="8560314A"/>
    <w:lvl w:ilvl="0" w:tplc="0C0A0001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AC819FE">
      <w:start w:val="1"/>
      <w:numFmt w:val="decimal"/>
      <w:lvlText w:val="%2)"/>
      <w:lvlJc w:val="left"/>
      <w:pPr>
        <w:tabs>
          <w:tab w:val="num" w:pos="1646"/>
        </w:tabs>
        <w:ind w:left="1646" w:hanging="360"/>
      </w:pPr>
      <w:rPr>
        <w:rFonts w:hint="default"/>
        <w:b w:val="0"/>
      </w:rPr>
    </w:lvl>
    <w:lvl w:ilvl="2" w:tplc="7CF68D92">
      <w:start w:val="1"/>
      <w:numFmt w:val="bullet"/>
      <w:lvlText w:val=""/>
      <w:lvlJc w:val="left"/>
      <w:pPr>
        <w:tabs>
          <w:tab w:val="num" w:pos="2366"/>
        </w:tabs>
        <w:ind w:left="2366" w:hanging="360"/>
      </w:pPr>
      <w:rPr>
        <w:rFonts w:ascii="Wingdings 3" w:hAnsi="Wingdings 3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5" w15:restartNumberingAfterBreak="0">
    <w:nsid w:val="6B987658"/>
    <w:multiLevelType w:val="hybridMultilevel"/>
    <w:tmpl w:val="AE8008AC"/>
    <w:lvl w:ilvl="0" w:tplc="6E949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13B87"/>
    <w:multiLevelType w:val="hybridMultilevel"/>
    <w:tmpl w:val="C980BA3A"/>
    <w:lvl w:ilvl="0" w:tplc="251608F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25"/>
    <w:multiLevelType w:val="hybridMultilevel"/>
    <w:tmpl w:val="C980BA3A"/>
    <w:lvl w:ilvl="0" w:tplc="251608F4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80DDD"/>
    <w:rsid w:val="000B0223"/>
    <w:rsid w:val="000F22F0"/>
    <w:rsid w:val="001D2DEA"/>
    <w:rsid w:val="002753F5"/>
    <w:rsid w:val="00280B03"/>
    <w:rsid w:val="002C17FC"/>
    <w:rsid w:val="002C6B35"/>
    <w:rsid w:val="00303033"/>
    <w:rsid w:val="003127AE"/>
    <w:rsid w:val="0031685B"/>
    <w:rsid w:val="003343AE"/>
    <w:rsid w:val="00340BB4"/>
    <w:rsid w:val="00367ACF"/>
    <w:rsid w:val="003E460D"/>
    <w:rsid w:val="00412AD4"/>
    <w:rsid w:val="004156E3"/>
    <w:rsid w:val="00422B52"/>
    <w:rsid w:val="00450A45"/>
    <w:rsid w:val="004A5B61"/>
    <w:rsid w:val="004B0FA1"/>
    <w:rsid w:val="00550903"/>
    <w:rsid w:val="00552B65"/>
    <w:rsid w:val="005D3107"/>
    <w:rsid w:val="0061497C"/>
    <w:rsid w:val="0065134A"/>
    <w:rsid w:val="00684B2D"/>
    <w:rsid w:val="006D46E9"/>
    <w:rsid w:val="006F7859"/>
    <w:rsid w:val="007073FE"/>
    <w:rsid w:val="00727897"/>
    <w:rsid w:val="0076139A"/>
    <w:rsid w:val="007D27D4"/>
    <w:rsid w:val="00813B97"/>
    <w:rsid w:val="008357EA"/>
    <w:rsid w:val="008C6000"/>
    <w:rsid w:val="00935BAF"/>
    <w:rsid w:val="00954FFB"/>
    <w:rsid w:val="0099029F"/>
    <w:rsid w:val="009913BB"/>
    <w:rsid w:val="00993B75"/>
    <w:rsid w:val="00996B9F"/>
    <w:rsid w:val="009A313A"/>
    <w:rsid w:val="009C560A"/>
    <w:rsid w:val="00A41CCD"/>
    <w:rsid w:val="00A525A1"/>
    <w:rsid w:val="00AC61CC"/>
    <w:rsid w:val="00AC7524"/>
    <w:rsid w:val="00B05BEF"/>
    <w:rsid w:val="00B06900"/>
    <w:rsid w:val="00B41FC2"/>
    <w:rsid w:val="00BB381C"/>
    <w:rsid w:val="00BD2089"/>
    <w:rsid w:val="00BE20A6"/>
    <w:rsid w:val="00BE2B8B"/>
    <w:rsid w:val="00C2607E"/>
    <w:rsid w:val="00C32608"/>
    <w:rsid w:val="00C36F0C"/>
    <w:rsid w:val="00C779FE"/>
    <w:rsid w:val="00CC4631"/>
    <w:rsid w:val="00D46764"/>
    <w:rsid w:val="00D471B2"/>
    <w:rsid w:val="00D6656E"/>
    <w:rsid w:val="00D70CFC"/>
    <w:rsid w:val="00DD38BA"/>
    <w:rsid w:val="00DE4B9A"/>
    <w:rsid w:val="00DF4EA5"/>
    <w:rsid w:val="00E816F1"/>
    <w:rsid w:val="00EA73F9"/>
    <w:rsid w:val="00ED2D61"/>
    <w:rsid w:val="00ED2E94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103FC"/>
  <w15:docId w15:val="{26034035-9F5C-46AE-BC6F-B2337B73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05B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80B03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nhideWhenUsed/>
    <w:rsid w:val="002753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753F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753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53F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ca.campusdominicano.org/2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dyUVu61l2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3LXHC6CMy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77E8E-4235-42F9-96C9-18968D31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1391</Words>
  <Characters>7656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2017-05-29T17:39:00Z</dcterms:created>
  <dcterms:modified xsi:type="dcterms:W3CDTF">2018-04-19T20:28:00Z</dcterms:modified>
</cp:coreProperties>
</file>