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362"/>
        <w:gridCol w:w="179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6"/>
      </w:tblGrid>
      <w:tr w:rsidR="00813B97" w:rsidRPr="008C3562" w14:paraId="7354EC0B" w14:textId="77777777" w:rsidTr="008C3562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04A1485B" w14:textId="77777777" w:rsidR="00813B97" w:rsidRPr="008C3562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617744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94BFC" w14:textId="77777777" w:rsidR="00813B97" w:rsidRPr="008C3562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8C3562" w14:paraId="01DD600D" w14:textId="77777777" w:rsidTr="008C3562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0589C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8420D3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5DEC3BC8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14:paraId="4ABE4EAF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C3562" w14:paraId="54AA5369" w14:textId="77777777" w:rsidTr="008C3562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24BA8959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33DEC6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60855" w14:textId="77777777" w:rsidR="00813B97" w:rsidRPr="008C3562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8C3562" w14:paraId="566F556D" w14:textId="77777777" w:rsidTr="008C3562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EB545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CCE8A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4FDC5FFF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14:paraId="545B87A3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C3562" w14:paraId="77F186C6" w14:textId="77777777" w:rsidTr="008C3562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082D0EF1" w14:textId="77777777" w:rsidR="00813B97" w:rsidRPr="008C3562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A2ECF2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9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8DEFF" w14:textId="0DF4B99A" w:rsidR="00813B97" w:rsidRPr="008C3562" w:rsidRDefault="0096130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Influencias socioculturales en el desarrollo de la identidad</w:t>
            </w:r>
          </w:p>
        </w:tc>
        <w:tc>
          <w:tcPr>
            <w:tcW w:w="108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3FC9BC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02AF6C2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7B49328F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225A018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B9435" w14:textId="65606922" w:rsidR="00813B97" w:rsidRPr="008C3562" w:rsidRDefault="008C356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SHLI05307</w:t>
            </w:r>
          </w:p>
        </w:tc>
      </w:tr>
      <w:tr w:rsidR="00813B97" w:rsidRPr="008C3562" w14:paraId="46C707D0" w14:textId="77777777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14:paraId="07CC4BC0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4382B4EE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0863E070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7AA5D138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46585BD0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C3562" w14:paraId="611E0533" w14:textId="77777777" w:rsidTr="008C3562">
        <w:trPr>
          <w:gridAfter w:val="1"/>
          <w:wAfter w:w="14" w:type="pct"/>
          <w:trHeight w:val="291"/>
        </w:trPr>
        <w:tc>
          <w:tcPr>
            <w:tcW w:w="7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C839AD1" w14:textId="77777777" w:rsidR="00813B97" w:rsidRPr="008C356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D71F1D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778C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E411CD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88B9415" w14:textId="77777777" w:rsidR="00813B97" w:rsidRPr="008C356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BC9C5B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727C7" w14:textId="68CD5032" w:rsidR="00813B97" w:rsidRPr="008C3562" w:rsidRDefault="003E471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4DB32A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05DF431B" w14:textId="77777777" w:rsidR="00813B97" w:rsidRPr="008C356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8C3562" w14:paraId="41BE7461" w14:textId="77777777" w:rsidTr="008C3562">
        <w:trPr>
          <w:gridAfter w:val="1"/>
          <w:wAfter w:w="14" w:type="pct"/>
          <w:trHeight w:val="254"/>
        </w:trPr>
        <w:tc>
          <w:tcPr>
            <w:tcW w:w="7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7BA5DAD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A8A21F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044CC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3C0F2A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21E9BEC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506229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285EE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68B66E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B71ED" w14:textId="6BB21488" w:rsidR="00813B97" w:rsidRPr="008C3562" w:rsidRDefault="00974F5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Marcos J. Estrada Ruiz</w:t>
            </w:r>
          </w:p>
        </w:tc>
      </w:tr>
      <w:tr w:rsidR="00813B97" w:rsidRPr="008C3562" w14:paraId="5416B5BA" w14:textId="77777777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837AA4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04B168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8C3562" w14:paraId="77C18ED9" w14:textId="77777777" w:rsidTr="008C3562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06467D56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FAC5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B500C" w14:textId="455A772E" w:rsidR="00813B97" w:rsidRPr="008C3562" w:rsidRDefault="00E4181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ADF8F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773F4CE2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756F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6FC8F" w14:textId="6B1F442E" w:rsidR="00813B97" w:rsidRPr="008C3562" w:rsidRDefault="00E4181E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B406F8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67C05E0" w14:textId="77777777" w:rsidR="00813B97" w:rsidRPr="008C356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FA3B8A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AFCD0" w14:textId="498AB486" w:rsidR="00813B97" w:rsidRPr="008C3562" w:rsidRDefault="006A22B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000000" w:themeColor="text1"/>
                <w:spacing w:val="-1"/>
                <w:sz w:val="20"/>
                <w:szCs w:val="20"/>
              </w:rPr>
              <w:t>5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1B60B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C3562" w14:paraId="1B0A9DB7" w14:textId="77777777" w:rsidTr="008C3562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57920647" w14:textId="77777777" w:rsidR="00813B97" w:rsidRPr="008C356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07BDEB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0D97F7" w14:textId="00810438" w:rsidR="00813B97" w:rsidRPr="008C3562" w:rsidRDefault="0096130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8BD664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7FAC9750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C1DD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B010A" w14:textId="150492C2" w:rsidR="00813B97" w:rsidRPr="008C3562" w:rsidRDefault="0082758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43E0F5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0519E874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F76EA0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BCAB7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991B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C3562" w14:paraId="262EFC0B" w14:textId="77777777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514775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C3562" w14:paraId="42FB76B2" w14:textId="77777777" w:rsidTr="008C3562">
        <w:trPr>
          <w:gridAfter w:val="1"/>
          <w:wAfter w:w="14" w:type="pct"/>
          <w:trHeight w:val="522"/>
        </w:trPr>
        <w:tc>
          <w:tcPr>
            <w:tcW w:w="1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7387EFBC" w14:textId="77777777" w:rsidR="00813B97" w:rsidRPr="008C356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4FE6A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7A0F528" w14:textId="122E8233" w:rsidR="00813B97" w:rsidRPr="008C3562" w:rsidRDefault="0091190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9F8C3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4EF94D25" w14:textId="77777777" w:rsidR="00813B97" w:rsidRPr="008C356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16B78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054AB11" w14:textId="783D31AC" w:rsidR="00813B97" w:rsidRPr="008C3562" w:rsidRDefault="00EB05C6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Teorías de la Orientación educativa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3882A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C3562" w14:paraId="1AEB1D32" w14:textId="77777777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5506C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8C3562" w14:paraId="717E35D4" w14:textId="77777777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CBD876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4F3C03C7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4C69CC1F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11C8B182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5B4E7F73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D7C3398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50D43FBC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799DF053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3B19A8F9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14:paraId="62742602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1CE2F47E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14:paraId="49CA507A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8C3562" w14:paraId="720378C8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11E3FA3C" w14:textId="77777777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8C3562" w14:paraId="7339644A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7836" w14:textId="5B3794F4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="00E631A8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Disciplinaria   (    ) Formativa   (    ) Metodológica</w:t>
            </w:r>
          </w:p>
        </w:tc>
      </w:tr>
      <w:tr w:rsidR="00813B97" w:rsidRPr="008C3562" w14:paraId="6D49AE21" w14:textId="77777777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AB11D" w14:textId="6FBB0A85" w:rsidR="00813B97" w:rsidRPr="008C3562" w:rsidRDefault="00813B97" w:rsidP="008C356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</w:t>
            </w:r>
            <w:r w:rsid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     )  Básica disciplinar  </w:t>
            </w:r>
            <w:r w:rsid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</w:t>
            </w:r>
            <w:r w:rsidR="00793E90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    (    ) Complementaria  </w:t>
            </w:r>
          </w:p>
        </w:tc>
      </w:tr>
      <w:tr w:rsidR="00813B97" w:rsidRPr="008C3562" w14:paraId="1BD86AF9" w14:textId="77777777" w:rsidTr="005F0929">
        <w:trPr>
          <w:gridAfter w:val="1"/>
          <w:wAfter w:w="14" w:type="pct"/>
          <w:trHeight w:hRule="exact" w:val="561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A06EC" w14:textId="43126713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="00793E90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8C3562" w14:paraId="21349C6C" w14:textId="77777777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C80C3" w14:textId="733F78DB" w:rsidR="00813B97" w:rsidRPr="008C356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</w:t>
            </w:r>
            <w:r w:rsid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 </w:t>
            </w:r>
            <w:r w:rsid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 </w:t>
            </w:r>
            <w:r w:rsid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1E2A9E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8C3562" w14:paraId="0DF9F348" w14:textId="77777777" w:rsidTr="008C356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7A619E11" w14:textId="77777777" w:rsidR="00813B97" w:rsidRPr="008C3562" w:rsidRDefault="00B06900" w:rsidP="00B06900">
            <w:pPr>
              <w:spacing w:after="0" w:line="360" w:lineRule="auto"/>
              <w:jc w:val="center"/>
              <w:rPr>
                <w:rFonts w:cs="Arial"/>
                <w:color w:val="FFFFFF" w:themeColor="background1"/>
                <w:sz w:val="20"/>
                <w:szCs w:val="20"/>
                <w:lang w:eastAsia="en-US"/>
              </w:rPr>
            </w:pPr>
            <w:bookmarkStart w:id="1" w:name="_GoBack" w:colFirst="0" w:colLast="0"/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8C3562" w14:paraId="4937EBD1" w14:textId="77777777" w:rsidTr="008C3562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48F6C36F" w14:textId="28D1E91F" w:rsidR="00813B97" w:rsidRPr="008C3562" w:rsidRDefault="00813B97" w:rsidP="00D13567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</w:t>
            </w:r>
            <w:r w:rsidR="00453B25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requiere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participación de profesionales con estudios </w:t>
            </w:r>
            <w:r w:rsidR="00E4181E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preferentes </w:t>
            </w:r>
            <w:r w:rsidR="005F2424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posgrado en Educación, sociología o antropología, </w:t>
            </w:r>
            <w:r w:rsidR="008C3562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y experiencia</w:t>
            </w:r>
            <w:r w:rsidR="005F2424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</w:t>
            </w:r>
            <w:r w:rsidR="0029254E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el campo educativo</w:t>
            </w:r>
            <w:r w:rsidR="00C43001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, en el desarrollo de proyectos de orientación, tutoría</w:t>
            </w:r>
            <w:r w:rsidR="00B50B59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relacionados con la cultura en general.</w:t>
            </w:r>
          </w:p>
          <w:p w14:paraId="4F19DDDE" w14:textId="4E9A7C8D" w:rsidR="00B50B59" w:rsidRPr="008C3562" w:rsidRDefault="00B50B59" w:rsidP="00B50B59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Entre otros atributos, deberá cumplir con el perfil mínimo señalado en las competencias de los docentes </w:t>
            </w:r>
            <w:r w:rsidR="008C3562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de acuerdo con el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Modelo Educativo de la Universidad d</w:t>
            </w:r>
            <w:r w:rsidR="00005575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e Guanajuato, entre las princip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="00005575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l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es para esta unidad de aprendizaje: </w:t>
            </w:r>
          </w:p>
          <w:p w14:paraId="185864B2" w14:textId="11C4FC94" w:rsidR="00B50B59" w:rsidRPr="008C3562" w:rsidRDefault="00B50B59" w:rsidP="00B50B59">
            <w:pPr>
              <w:pStyle w:val="Prrafodelista"/>
              <w:numPr>
                <w:ilvl w:val="0"/>
                <w:numId w:val="2"/>
              </w:num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proofErr w:type="spellStart"/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</w:t>
            </w:r>
            <w:r w:rsidR="00005575" w:rsidRPr="008C3562">
              <w:rPr>
                <w:rFonts w:eastAsiaTheme="minorHAnsi" w:cs="Arial"/>
                <w:color w:val="000000" w:themeColor="text1"/>
                <w:sz w:val="20"/>
                <w:szCs w:val="20"/>
                <w:lang w:val="es-ES_tradnl" w:eastAsia="en-US"/>
              </w:rPr>
              <w:t>ta</w:t>
            </w:r>
            <w:proofErr w:type="spellEnd"/>
            <w:r w:rsidRPr="008C3562">
              <w:rPr>
                <w:rFonts w:eastAsiaTheme="minorHAnsi" w:cs="Arial"/>
                <w:color w:val="000000" w:themeColor="text1"/>
                <w:sz w:val="20"/>
                <w:szCs w:val="20"/>
                <w:lang w:val="es-ES_tradnl" w:eastAsia="en-US"/>
              </w:rPr>
              <w:t xml:space="preserve"> una postura personal sobre temas de interés y relevancia general, considerando otros puntos de vista de manera crítica, respetuosa y reflexiva. </w:t>
            </w:r>
          </w:p>
          <w:p w14:paraId="580E9A9C" w14:textId="159B1245" w:rsidR="00B50B59" w:rsidRPr="008C3562" w:rsidRDefault="00B50B59" w:rsidP="00B50B59">
            <w:pPr>
              <w:pStyle w:val="Prrafodelista"/>
              <w:numPr>
                <w:ilvl w:val="0"/>
                <w:numId w:val="2"/>
              </w:num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académica y profesional y construir sociedades incluyentes.</w:t>
            </w:r>
          </w:p>
          <w:p w14:paraId="40C60CE7" w14:textId="0570A2FC" w:rsidR="00B50B59" w:rsidRPr="008C3562" w:rsidRDefault="00420AF2" w:rsidP="00B50B59">
            <w:pPr>
              <w:pStyle w:val="Prrafodelista"/>
              <w:numPr>
                <w:ilvl w:val="0"/>
                <w:numId w:val="1"/>
              </w:numPr>
              <w:spacing w:before="240" w:line="240" w:lineRule="auto"/>
              <w:rPr>
                <w:rFonts w:eastAsia="Times New Roman" w:cs="Arial"/>
                <w:bCs/>
                <w:color w:val="000000" w:themeColor="text1"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000000" w:themeColor="text1"/>
                <w:spacing w:val="-1"/>
                <w:sz w:val="20"/>
                <w:szCs w:val="20"/>
              </w:rPr>
              <w:t>Se vincula con el entorno e involucra al estudiante en actividades de familiarización e interacción en su campo de formación, sea mediante la extensión o la investigación para la formación de su perfil profesional.</w:t>
            </w:r>
          </w:p>
          <w:p w14:paraId="3DB44E98" w14:textId="13C9F39A" w:rsidR="00996B9F" w:rsidRPr="008C3562" w:rsidRDefault="00420AF2" w:rsidP="00D13567">
            <w:pPr>
              <w:pStyle w:val="Prrafodelista"/>
              <w:numPr>
                <w:ilvl w:val="0"/>
                <w:numId w:val="1"/>
              </w:numPr>
              <w:spacing w:before="240" w:line="240" w:lineRule="auto"/>
              <w:rPr>
                <w:rFonts w:eastAsia="Times New Roman" w:cs="Arial"/>
                <w:bCs/>
                <w:color w:val="000000" w:themeColor="text1"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color w:val="000000" w:themeColor="text1"/>
                <w:spacing w:val="-1"/>
                <w:sz w:val="20"/>
                <w:szCs w:val="20"/>
              </w:rPr>
              <w:lastRenderedPageBreak/>
              <w:t xml:space="preserve">Promueve y planifica el trabajo autónomo del estudiante haciendo uso de metodologías de aprendizaje innovadoras para fortalecer su </w:t>
            </w:r>
            <w:proofErr w:type="spellStart"/>
            <w:r w:rsidRPr="008C3562">
              <w:rPr>
                <w:rFonts w:eastAsia="Times New Roman" w:cs="Arial"/>
                <w:bCs/>
                <w:color w:val="000000" w:themeColor="text1"/>
                <w:spacing w:val="-1"/>
                <w:sz w:val="20"/>
                <w:szCs w:val="20"/>
              </w:rPr>
              <w:t>formación</w:t>
            </w:r>
            <w:proofErr w:type="spellEnd"/>
            <w:r w:rsidRPr="008C3562">
              <w:rPr>
                <w:rFonts w:eastAsia="Times New Roman" w:cs="Arial"/>
                <w:bCs/>
                <w:color w:val="000000" w:themeColor="text1"/>
                <w:spacing w:val="-1"/>
                <w:sz w:val="20"/>
                <w:szCs w:val="20"/>
              </w:rPr>
              <w:t xml:space="preserve"> integral.</w:t>
            </w:r>
          </w:p>
        </w:tc>
      </w:tr>
      <w:tr w:rsidR="00813B97" w:rsidRPr="008C3562" w14:paraId="261A8F0E" w14:textId="77777777" w:rsidTr="008C356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015E9F86" w14:textId="77777777" w:rsidR="00813B97" w:rsidRPr="008C356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8C3562" w14:paraId="1AE2AFB2" w14:textId="77777777" w:rsidTr="008C3562">
        <w:trPr>
          <w:jc w:val="center"/>
        </w:trPr>
        <w:tc>
          <w:tcPr>
            <w:tcW w:w="5000" w:type="pct"/>
            <w:gridSpan w:val="2"/>
          </w:tcPr>
          <w:p w14:paraId="63EEC87A" w14:textId="03FD381C" w:rsidR="00813B97" w:rsidRPr="008C3562" w:rsidRDefault="00813B97" w:rsidP="00D13567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95664C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</w:t>
            </w:r>
            <w:r w:rsidR="008B20AE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etencia</w:t>
            </w:r>
            <w:r w:rsidR="0095664C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8B20AE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95664C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8B20AE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institucional</w:t>
            </w:r>
            <w:r w:rsidR="0095664C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es siguientes</w:t>
            </w:r>
            <w:r w:rsidR="006D1BE7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14:paraId="27D048B2" w14:textId="733B5804" w:rsidR="006D1BE7" w:rsidRPr="008C3562" w:rsidRDefault="006D1BE7" w:rsidP="00D13567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El estudiante:</w:t>
            </w:r>
          </w:p>
          <w:p w14:paraId="7A663544" w14:textId="195DC8EC" w:rsidR="008B20AE" w:rsidRPr="008C3562" w:rsidRDefault="008C3562" w:rsidP="008C3562">
            <w:pPr>
              <w:spacing w:after="0" w:line="240" w:lineRule="auto"/>
              <w:ind w:left="567" w:hanging="567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CG2. </w:t>
            </w:r>
            <w:r w:rsidR="008B20AE" w:rsidRPr="008C3562">
              <w:rPr>
                <w:rFonts w:cs="Arial"/>
                <w:color w:val="000000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14:paraId="7A7F0CAB" w14:textId="06A25168" w:rsidR="008B20AE" w:rsidRPr="008C3562" w:rsidRDefault="008C3562" w:rsidP="008C3562">
            <w:pPr>
              <w:spacing w:after="0" w:line="240" w:lineRule="auto"/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CG3. </w:t>
            </w:r>
            <w:r w:rsidR="008B20AE" w:rsidRPr="008C3562">
              <w:rPr>
                <w:rFonts w:cs="Arial"/>
                <w:color w:val="000000"/>
                <w:sz w:val="20"/>
                <w:szCs w:val="20"/>
              </w:rPr>
              <w:t>Mantiene una actitud respetuosa hacia la interculturalidad y la diversidad para crear espacios de convivencia humana, académica y profesional y construir sociedades incluyentes y sustentables.</w:t>
            </w:r>
          </w:p>
          <w:p w14:paraId="201C3DBC" w14:textId="0ABEB6D6" w:rsidR="008B20AE" w:rsidRPr="008C3562" w:rsidRDefault="008C3562" w:rsidP="008C3562">
            <w:pPr>
              <w:spacing w:after="0" w:line="240" w:lineRule="auto"/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CG6. </w:t>
            </w:r>
            <w:r w:rsidR="008B20AE" w:rsidRPr="008C3562">
              <w:rPr>
                <w:rFonts w:cs="Arial"/>
                <w:color w:val="000000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</w:p>
          <w:p w14:paraId="1FE49DC9" w14:textId="30195A41" w:rsidR="008B20AE" w:rsidRPr="008C3562" w:rsidRDefault="008C3562" w:rsidP="008C3562">
            <w:pPr>
              <w:spacing w:after="0" w:line="240" w:lineRule="auto"/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CG10. </w:t>
            </w:r>
            <w:r w:rsidR="008B20AE" w:rsidRPr="008C3562">
              <w:rPr>
                <w:rFonts w:cs="Arial"/>
                <w:sz w:val="20"/>
                <w:szCs w:val="20"/>
              </w:rPr>
              <w:t>Desarrolla un liderazgo innovador y competitivo en la disciplina o campo de su elección, que le permite aprender continuamente sobre su persona, nuevos conceptos, procesos y metodologías que le permiten aportar alternativas de solución y tomar decisiones con integridad moral, compromiso social y enfoque de sustentabilidad.</w:t>
            </w:r>
          </w:p>
          <w:p w14:paraId="59CE2D62" w14:textId="77777777" w:rsidR="008B20AE" w:rsidRPr="008C3562" w:rsidRDefault="008B20AE" w:rsidP="00D13567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14:paraId="5A8DE518" w14:textId="3CC97182" w:rsidR="00813B97" w:rsidRPr="008C3562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</w:t>
            </w:r>
            <w:r w:rsidR="007545A7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</w:t>
            </w:r>
            <w:r w:rsidR="007C12C6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tencia</w:t>
            </w:r>
            <w:r w:rsidR="007545A7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7C12C6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7545A7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s del programa.</w:t>
            </w:r>
          </w:p>
          <w:p w14:paraId="171461EB" w14:textId="4F9ACD87" w:rsidR="007545A7" w:rsidRPr="008C3562" w:rsidRDefault="007545A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El estudiante:</w:t>
            </w:r>
          </w:p>
          <w:p w14:paraId="3BD172CD" w14:textId="360C6A53" w:rsidR="00DD4DD2" w:rsidRPr="008C3562" w:rsidRDefault="008C3562" w:rsidP="008C3562">
            <w:pPr>
              <w:spacing w:after="0" w:line="276" w:lineRule="auto"/>
              <w:ind w:left="567" w:hanging="567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CE3. </w:t>
            </w:r>
            <w:r w:rsidR="00DD4DD2" w:rsidRPr="008C3562">
              <w:rPr>
                <w:rFonts w:eastAsia="Times New Roman" w:cs="Arial"/>
                <w:sz w:val="20"/>
                <w:szCs w:val="20"/>
              </w:rPr>
              <w:t>Proyecta y desarrolla acciones educativas de carácter interdisciplinario.</w:t>
            </w:r>
          </w:p>
          <w:p w14:paraId="13CC20AD" w14:textId="054C933D" w:rsidR="007C12C6" w:rsidRPr="008C3562" w:rsidRDefault="008C3562" w:rsidP="008C3562">
            <w:pPr>
              <w:spacing w:line="240" w:lineRule="auto"/>
              <w:ind w:left="567" w:hanging="56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CE4. </w:t>
            </w:r>
            <w:r w:rsidR="00B25D27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Identifica y gestiona apoyos para atender necesidades educativas específicas en diferentes contextos.</w:t>
            </w:r>
          </w:p>
          <w:p w14:paraId="5D82D133" w14:textId="11883FF8" w:rsidR="00B25D27" w:rsidRPr="008C3562" w:rsidRDefault="008C3562" w:rsidP="008C3562">
            <w:pPr>
              <w:spacing w:after="0" w:line="276" w:lineRule="auto"/>
              <w:ind w:left="567" w:hanging="567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CE5. </w:t>
            </w:r>
            <w:r w:rsidR="00B25D27" w:rsidRPr="008C3562">
              <w:rPr>
                <w:rFonts w:eastAsia="Times New Roman" w:cs="Arial"/>
                <w:sz w:val="20"/>
                <w:szCs w:val="20"/>
              </w:rPr>
              <w:t>Diseña, gestiona, implementa y evalúa programas y proyectos educativos.</w:t>
            </w:r>
          </w:p>
          <w:p w14:paraId="1E67E1E2" w14:textId="71957770" w:rsidR="00137F71" w:rsidRPr="008C3562" w:rsidRDefault="008C3562" w:rsidP="008C3562">
            <w:pPr>
              <w:spacing w:after="0" w:line="276" w:lineRule="auto"/>
              <w:ind w:left="567" w:hanging="567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CE11. </w:t>
            </w:r>
            <w:r w:rsidR="00137F71" w:rsidRPr="008C3562">
              <w:rPr>
                <w:rFonts w:eastAsia="Times New Roman" w:cs="Arial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14:paraId="6198BD37" w14:textId="5260F028" w:rsidR="00137F71" w:rsidRPr="008C3562" w:rsidRDefault="008C3562" w:rsidP="008C3562">
            <w:pPr>
              <w:spacing w:after="0" w:line="276" w:lineRule="auto"/>
              <w:ind w:left="567" w:hanging="567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CE14. </w:t>
            </w:r>
            <w:r w:rsidR="00137F71" w:rsidRPr="008C3562">
              <w:rPr>
                <w:rFonts w:eastAsia="Times New Roman" w:cs="Arial"/>
                <w:sz w:val="20"/>
                <w:szCs w:val="20"/>
              </w:rPr>
              <w:t>Orienta y facilita con acciones educativas los procesos de cambio en la comunidad.</w:t>
            </w:r>
          </w:p>
          <w:p w14:paraId="54EDE842" w14:textId="48A3965A" w:rsidR="00DB6E22" w:rsidRPr="008C3562" w:rsidRDefault="008C3562" w:rsidP="008C3562">
            <w:pPr>
              <w:spacing w:after="0" w:line="276" w:lineRule="auto"/>
              <w:ind w:left="567" w:hanging="567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CE16. </w:t>
            </w:r>
            <w:r w:rsidR="00DB6E22" w:rsidRPr="008C3562">
              <w:rPr>
                <w:rFonts w:eastAsia="Times New Roman" w:cs="Arial"/>
                <w:sz w:val="20"/>
                <w:szCs w:val="20"/>
              </w:rPr>
              <w:t xml:space="preserve">Genera e </w:t>
            </w:r>
            <w:proofErr w:type="spellStart"/>
            <w:r w:rsidR="00DB6E22" w:rsidRPr="008C3562">
              <w:rPr>
                <w:rFonts w:eastAsia="Times New Roman" w:cs="Arial"/>
                <w:sz w:val="20"/>
                <w:szCs w:val="20"/>
              </w:rPr>
              <w:t>implementa</w:t>
            </w:r>
            <w:proofErr w:type="spellEnd"/>
            <w:r w:rsidR="00DB6E22" w:rsidRPr="008C3562">
              <w:rPr>
                <w:rFonts w:eastAsia="Times New Roman" w:cs="Arial"/>
                <w:sz w:val="20"/>
                <w:szCs w:val="20"/>
              </w:rPr>
              <w:t xml:space="preserve"> estrategias educativas que respondan a la diversidad socio–cultural.</w:t>
            </w:r>
          </w:p>
          <w:p w14:paraId="109ABA1D" w14:textId="606F9099" w:rsidR="00061FC4" w:rsidRPr="008C3562" w:rsidRDefault="00061FC4" w:rsidP="00D13567">
            <w:pPr>
              <w:spacing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8C3562" w14:paraId="5C91726D" w14:textId="77777777" w:rsidTr="008C356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057B0C3F" w14:textId="77777777" w:rsidR="00813B97" w:rsidRPr="008C356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8C3562" w14:paraId="2C3D7A81" w14:textId="77777777" w:rsidTr="008C3562">
        <w:trPr>
          <w:jc w:val="center"/>
        </w:trPr>
        <w:tc>
          <w:tcPr>
            <w:tcW w:w="5000" w:type="pct"/>
            <w:gridSpan w:val="2"/>
          </w:tcPr>
          <w:p w14:paraId="52DF9983" w14:textId="28D7929C" w:rsidR="00813B97" w:rsidRPr="008C3562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5A2D92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</w:t>
            </w:r>
            <w:r w:rsidR="009525EC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14:paraId="797804BE" w14:textId="330B2E91" w:rsidR="009525EC" w:rsidRPr="008C3562" w:rsidRDefault="005A2D92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proofErr w:type="gramStart"/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Le</w:t>
            </w:r>
            <w:proofErr w:type="gramEnd"/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permitirá a los</w:t>
            </w:r>
            <w:r w:rsidR="00C26245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estudiantes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analizar y comprender la importancia del enfoque sociocultural en el desarrollo de la identidad</w:t>
            </w:r>
            <w:r w:rsidR="0036474D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, particularmente relacionado con el campo educativo,</w:t>
            </w:r>
            <w:r w:rsidR="00604754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en la elaboración de diagnó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sticos efectivos para la implentación de la asesoría educativa</w:t>
            </w:r>
            <w:r w:rsidR="0036474D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14:paraId="474E7B28" w14:textId="099F6DC2" w:rsidR="00604754" w:rsidRPr="008C3562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FA4F8A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604754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el conocim</w:t>
            </w:r>
            <w:r w:rsidR="00FA4F8A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i</w:t>
            </w:r>
            <w:r w:rsidR="00604754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="00FA4F8A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nto </w:t>
            </w:r>
            <w:r w:rsidR="0029343F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y herramientas para el aná</w:t>
            </w:r>
            <w:r w:rsidR="00604754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lisis sociocultural de los diferentes procesos educativos, plasmados en estrategias de asesoría para inc</w:t>
            </w:r>
            <w:r w:rsidR="0029343F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idir en la comprensión e interv</w:t>
            </w:r>
            <w:r w:rsidR="00604754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="0029343F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604754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ción educativa.</w:t>
            </w:r>
          </w:p>
          <w:p w14:paraId="5F070AFD" w14:textId="190B2E6E" w:rsidR="00996B9F" w:rsidRPr="008C3562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Se imparte en el</w:t>
            </w:r>
            <w:r w:rsidR="00604754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sexto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semestre y se relaciona con las unidades de aprendizaje</w:t>
            </w:r>
            <w:r w:rsidR="00604754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604754"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Teorías de la Orientación educativa.</w:t>
            </w:r>
          </w:p>
        </w:tc>
      </w:tr>
      <w:tr w:rsidR="00813B97" w:rsidRPr="008C3562" w14:paraId="6298C456" w14:textId="77777777" w:rsidTr="008C356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4D918499" w14:textId="77777777" w:rsidR="00813B97" w:rsidRPr="008C356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8C3562" w14:paraId="366DA9A9" w14:textId="77777777" w:rsidTr="008C3562">
        <w:trPr>
          <w:jc w:val="center"/>
        </w:trPr>
        <w:tc>
          <w:tcPr>
            <w:tcW w:w="5000" w:type="pct"/>
            <w:gridSpan w:val="2"/>
            <w:vAlign w:val="center"/>
          </w:tcPr>
          <w:p w14:paraId="7B9FEEA0" w14:textId="77777777" w:rsidR="001504E8" w:rsidRPr="008C3562" w:rsidRDefault="001504E8" w:rsidP="001504E8">
            <w:pPr>
              <w:pStyle w:val="Prrafodelista"/>
              <w:numPr>
                <w:ilvl w:val="0"/>
                <w:numId w:val="8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14:paraId="05928F50" w14:textId="77777777" w:rsidR="001504E8" w:rsidRPr="008C3562" w:rsidRDefault="001504E8" w:rsidP="001504E8">
            <w:pPr>
              <w:pStyle w:val="Prrafodelista"/>
              <w:numPr>
                <w:ilvl w:val="0"/>
                <w:numId w:val="8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 xml:space="preserve">Identifica y gestiona apoyos para atender necesidades educativas específicas en diferentes </w:t>
            </w:r>
            <w:r w:rsidRPr="008C3562">
              <w:rPr>
                <w:rFonts w:eastAsia="Times New Roman" w:cs="Arial"/>
                <w:sz w:val="20"/>
                <w:szCs w:val="20"/>
              </w:rPr>
              <w:lastRenderedPageBreak/>
              <w:t>contextos.</w:t>
            </w:r>
          </w:p>
          <w:p w14:paraId="1AE21582" w14:textId="6290B2E6" w:rsidR="001504E8" w:rsidRPr="008C3562" w:rsidRDefault="001504E8" w:rsidP="001504E8">
            <w:pPr>
              <w:pStyle w:val="Prrafodelista"/>
              <w:numPr>
                <w:ilvl w:val="0"/>
                <w:numId w:val="8"/>
              </w:numPr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>Diseña, gestiona, implementa y evalúa programas y proyectos educativos.</w:t>
            </w:r>
          </w:p>
          <w:p w14:paraId="067AA1D1" w14:textId="77777777" w:rsidR="001504E8" w:rsidRPr="008C3562" w:rsidRDefault="001504E8" w:rsidP="001504E8">
            <w:pPr>
              <w:pStyle w:val="Prrafodelista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>Orienta y facilita con acciones educativas los procesos de cambio en la comunidad.</w:t>
            </w:r>
          </w:p>
          <w:p w14:paraId="3F42CF02" w14:textId="77777777" w:rsidR="001504E8" w:rsidRPr="008C3562" w:rsidRDefault="001504E8" w:rsidP="001504E8">
            <w:pPr>
              <w:pStyle w:val="Prrafodelista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>Genera e implementa estrategias educativas que respondan a la diversidad socio – cultural.</w:t>
            </w:r>
          </w:p>
          <w:p w14:paraId="19B10085" w14:textId="473BA2F5" w:rsidR="001504E8" w:rsidRPr="008C3562" w:rsidRDefault="001504E8" w:rsidP="00D13567">
            <w:pPr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8C3562" w14:paraId="6AB1E2C7" w14:textId="77777777" w:rsidTr="008C356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28128CD7" w14:textId="77777777" w:rsidR="00813B97" w:rsidRPr="008C356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8C3562" w14:paraId="0AC6682D" w14:textId="77777777" w:rsidTr="008C3562">
        <w:trPr>
          <w:jc w:val="center"/>
        </w:trPr>
        <w:tc>
          <w:tcPr>
            <w:tcW w:w="5000" w:type="pct"/>
            <w:gridSpan w:val="2"/>
            <w:vAlign w:val="center"/>
          </w:tcPr>
          <w:p w14:paraId="5A91A3B5" w14:textId="2FBE0BD9" w:rsidR="00A97AE7" w:rsidRPr="008C3562" w:rsidRDefault="00A97AE7" w:rsidP="00A97AE7">
            <w:pPr>
              <w:numPr>
                <w:ilvl w:val="0"/>
                <w:numId w:val="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El enfoque </w:t>
            </w:r>
            <w:proofErr w:type="gramStart"/>
            <w:r w:rsidRPr="008C3562">
              <w:rPr>
                <w:rFonts w:cs="Arial"/>
                <w:sz w:val="20"/>
                <w:szCs w:val="20"/>
              </w:rPr>
              <w:t>socio-cultural</w:t>
            </w:r>
            <w:proofErr w:type="gramEnd"/>
          </w:p>
          <w:p w14:paraId="48BEEB85" w14:textId="77777777" w:rsidR="00481BCF" w:rsidRPr="008C3562" w:rsidRDefault="00481BCF" w:rsidP="00481BCF">
            <w:pPr>
              <w:spacing w:after="0" w:line="240" w:lineRule="auto"/>
              <w:ind w:left="170"/>
              <w:rPr>
                <w:rFonts w:cs="Arial"/>
                <w:sz w:val="20"/>
                <w:szCs w:val="20"/>
              </w:rPr>
            </w:pPr>
          </w:p>
          <w:p w14:paraId="7A75877D" w14:textId="5105D3D8" w:rsidR="00481BCF" w:rsidRPr="008C3562" w:rsidRDefault="00481BCF" w:rsidP="00481BCF">
            <w:pPr>
              <w:spacing w:after="0" w:line="240" w:lineRule="auto"/>
              <w:ind w:left="170"/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Principales perspectivas y usos</w:t>
            </w:r>
          </w:p>
          <w:p w14:paraId="679CF4CF" w14:textId="77777777" w:rsidR="00481BCF" w:rsidRPr="008C3562" w:rsidRDefault="00481BCF" w:rsidP="00481BCF">
            <w:pPr>
              <w:spacing w:after="0" w:line="240" w:lineRule="auto"/>
              <w:ind w:left="170"/>
              <w:rPr>
                <w:rFonts w:cs="Arial"/>
                <w:sz w:val="20"/>
                <w:szCs w:val="20"/>
              </w:rPr>
            </w:pPr>
          </w:p>
          <w:p w14:paraId="6E91F04B" w14:textId="77777777" w:rsidR="00A97AE7" w:rsidRPr="008C3562" w:rsidRDefault="00A97AE7" w:rsidP="00A97AE7">
            <w:pPr>
              <w:numPr>
                <w:ilvl w:val="0"/>
                <w:numId w:val="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Concepto de la identidad en los diferentes modelos teóricos de ciencias sociales</w:t>
            </w:r>
          </w:p>
          <w:p w14:paraId="37CABCD1" w14:textId="77777777" w:rsidR="00EA33E3" w:rsidRPr="008C3562" w:rsidRDefault="00EA33E3" w:rsidP="00EA33E3">
            <w:pPr>
              <w:spacing w:after="0" w:line="240" w:lineRule="auto"/>
              <w:ind w:left="170"/>
              <w:rPr>
                <w:rFonts w:cs="Arial"/>
                <w:sz w:val="20"/>
                <w:szCs w:val="20"/>
              </w:rPr>
            </w:pPr>
          </w:p>
          <w:p w14:paraId="3F54B55A" w14:textId="77777777" w:rsidR="00AD7650" w:rsidRPr="008C3562" w:rsidRDefault="00AD7650" w:rsidP="00A97AE7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Identidad y cultura</w:t>
            </w:r>
          </w:p>
          <w:p w14:paraId="27BD492F" w14:textId="6D610DA0" w:rsidR="00A97AE7" w:rsidRPr="008C3562" w:rsidRDefault="00A97AE7" w:rsidP="00A97AE7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tradición, modernidad, </w:t>
            </w:r>
            <w:r w:rsidR="00AD7650" w:rsidRPr="008C3562">
              <w:rPr>
                <w:rFonts w:cs="Arial"/>
                <w:sz w:val="20"/>
                <w:szCs w:val="20"/>
              </w:rPr>
              <w:t xml:space="preserve">posmodernidad, transmodernidad, </w:t>
            </w:r>
            <w:r w:rsidRPr="008C3562">
              <w:rPr>
                <w:rFonts w:cs="Arial"/>
                <w:sz w:val="20"/>
                <w:szCs w:val="20"/>
              </w:rPr>
              <w:t>multiculturalismo</w:t>
            </w:r>
          </w:p>
          <w:p w14:paraId="23AD686B" w14:textId="77777777" w:rsidR="00A97AE7" w:rsidRPr="008C3562" w:rsidRDefault="00A97AE7" w:rsidP="00A97AE7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Etnicidad, nacionalismo, ciudadanía e identidad</w:t>
            </w:r>
          </w:p>
          <w:p w14:paraId="4E8B8A44" w14:textId="77777777" w:rsidR="00A97AE7" w:rsidRPr="008C3562" w:rsidRDefault="00A97AE7" w:rsidP="00A97AE7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Ética, valores, creencias e identidad; papel de la religión</w:t>
            </w:r>
          </w:p>
          <w:p w14:paraId="5A4431C9" w14:textId="77777777" w:rsidR="00A97AE7" w:rsidRPr="008C3562" w:rsidRDefault="00A97AE7" w:rsidP="00A97AE7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Actividad económica, profesión e identidad</w:t>
            </w:r>
          </w:p>
          <w:p w14:paraId="0536D91E" w14:textId="77777777" w:rsidR="00A97AE7" w:rsidRPr="008C3562" w:rsidRDefault="00A97AE7" w:rsidP="00A97AE7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Ciclo de vida e identidad.</w:t>
            </w:r>
          </w:p>
          <w:p w14:paraId="48594C30" w14:textId="77777777" w:rsidR="00A97AE7" w:rsidRPr="008C3562" w:rsidRDefault="00A97AE7" w:rsidP="00A97AE7">
            <w:pPr>
              <w:numPr>
                <w:ilvl w:val="0"/>
                <w:numId w:val="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Papel de la asesoría educativa en la construcción de la identidad y prevención de los problemas</w:t>
            </w:r>
          </w:p>
          <w:p w14:paraId="652216CD" w14:textId="77777777" w:rsidR="006B2B1B" w:rsidRPr="008C3562" w:rsidRDefault="006B2B1B" w:rsidP="006B2B1B">
            <w:pPr>
              <w:spacing w:after="0" w:line="240" w:lineRule="auto"/>
              <w:ind w:left="170"/>
              <w:rPr>
                <w:rFonts w:cs="Arial"/>
                <w:sz w:val="20"/>
                <w:szCs w:val="20"/>
              </w:rPr>
            </w:pPr>
          </w:p>
          <w:p w14:paraId="24CC9FC9" w14:textId="77777777" w:rsidR="00A97AE7" w:rsidRPr="008C3562" w:rsidRDefault="00A97AE7" w:rsidP="00A97AE7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Proceso de clarificación ético valoral</w:t>
            </w:r>
          </w:p>
          <w:p w14:paraId="2C9B9068" w14:textId="66FFC011" w:rsidR="00AD7650" w:rsidRPr="008C3562" w:rsidRDefault="00AD7650" w:rsidP="00A97AE7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Desarrollo del juicio moral</w:t>
            </w:r>
          </w:p>
          <w:p w14:paraId="591AAD65" w14:textId="77777777" w:rsidR="00A97AE7" w:rsidRPr="008C3562" w:rsidRDefault="00A97AE7" w:rsidP="00A97AE7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Apoyos para el manejo de conflictos y toma de decisiones</w:t>
            </w:r>
          </w:p>
          <w:p w14:paraId="2789DA8C" w14:textId="6F7AF18D" w:rsidR="00813B97" w:rsidRPr="008C3562" w:rsidRDefault="00A97AE7" w:rsidP="00A97AE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Proyecto de vida como visualización de las diferentes opciones para potenciar la identidad</w:t>
            </w:r>
          </w:p>
          <w:p w14:paraId="28D9489E" w14:textId="45782120" w:rsidR="00AD7650" w:rsidRPr="008C3562" w:rsidRDefault="00AD7650" w:rsidP="00A97AE7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Desarrollo de la consciencia ingenua y conciencia ético-crítica</w:t>
            </w:r>
          </w:p>
          <w:p w14:paraId="4555E1DB" w14:textId="12321CDC" w:rsidR="00A97AE7" w:rsidRPr="008C3562" w:rsidRDefault="00A97AE7" w:rsidP="006F7859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</w:tc>
      </w:tr>
      <w:tr w:rsidR="00813B97" w:rsidRPr="008C3562" w14:paraId="57CA0522" w14:textId="77777777" w:rsidTr="008C3562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14:paraId="7897431D" w14:textId="77777777" w:rsidR="00813B97" w:rsidRPr="008C356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14:paraId="5DF69549" w14:textId="77777777" w:rsidR="00813B97" w:rsidRPr="008C356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8C3562" w14:paraId="085E7A3A" w14:textId="77777777" w:rsidTr="008C3562">
        <w:trPr>
          <w:jc w:val="center"/>
        </w:trPr>
        <w:tc>
          <w:tcPr>
            <w:tcW w:w="2552" w:type="pct"/>
            <w:vAlign w:val="center"/>
          </w:tcPr>
          <w:p w14:paraId="0F138EC8" w14:textId="77777777" w:rsidR="00537F9B" w:rsidRPr="008C3562" w:rsidRDefault="00537F9B" w:rsidP="00537F9B">
            <w:pPr>
              <w:rPr>
                <w:rFonts w:cs="Arial"/>
                <w:sz w:val="20"/>
                <w:szCs w:val="20"/>
              </w:rPr>
            </w:pPr>
          </w:p>
          <w:p w14:paraId="7C594700" w14:textId="77777777" w:rsidR="00537F9B" w:rsidRPr="008C3562" w:rsidRDefault="00537F9B" w:rsidP="00537F9B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Dinámica de trabajo</w:t>
            </w:r>
          </w:p>
          <w:p w14:paraId="0805BB9F" w14:textId="77777777" w:rsidR="00537F9B" w:rsidRPr="008C3562" w:rsidRDefault="00537F9B" w:rsidP="00537F9B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Tipo de situaciones formativas: </w:t>
            </w:r>
          </w:p>
          <w:p w14:paraId="5EFB7689" w14:textId="77777777" w:rsidR="00537F9B" w:rsidRPr="008C3562" w:rsidRDefault="00537F9B" w:rsidP="00537F9B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Se parte de una comprensión constructivista del aprendizaje que requiere del papel activo de los actores en la apropiación del conocimiento, y en donde los esfuerzos formativos consisten en lograr mediaciones para los aprendizajes.</w:t>
            </w:r>
          </w:p>
          <w:p w14:paraId="3C736F52" w14:textId="46AC83B8" w:rsidR="00537F9B" w:rsidRPr="008C3562" w:rsidRDefault="00537F9B" w:rsidP="00537F9B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Por lo anterior, la metodología de trabajo estará basada en la perspectiva dialógica y participativa, lo que implica que se partirá del propio conocimiento </w:t>
            </w:r>
            <w:r w:rsidRPr="008C3562">
              <w:rPr>
                <w:rFonts w:cs="Arial"/>
                <w:sz w:val="20"/>
                <w:szCs w:val="20"/>
              </w:rPr>
              <w:lastRenderedPageBreak/>
              <w:t xml:space="preserve">local (experiencial) de los participantes para problematizar los contenidos desde su realidad, teniendo al diálogo intersubjetivo como mediador. Se pondrá énfasis en el trabajo cooperativo, la enseñanza recíproca entre pares, y el responsable de las sesiones fungirá como coordinador-mediador a través de las siguientes estrategias, que permitan poner en situación de formación a los estudiantes: </w:t>
            </w:r>
          </w:p>
          <w:p w14:paraId="7CA60311" w14:textId="77777777" w:rsidR="00981B50" w:rsidRPr="008C3562" w:rsidRDefault="00981B50" w:rsidP="00981B50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- Exposición del docente y de los participantes </w:t>
            </w:r>
          </w:p>
          <w:p w14:paraId="07D0AE19" w14:textId="77777777" w:rsidR="00981B50" w:rsidRPr="008C3562" w:rsidRDefault="00981B50" w:rsidP="00981B50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- Análisis y discusión de textos </w:t>
            </w:r>
          </w:p>
          <w:p w14:paraId="6BB39F90" w14:textId="77777777" w:rsidR="00981B50" w:rsidRPr="008C3562" w:rsidRDefault="00981B50" w:rsidP="00981B50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- Análisis de casos </w:t>
            </w:r>
          </w:p>
          <w:p w14:paraId="64FD5723" w14:textId="77777777" w:rsidR="00981B50" w:rsidRPr="008C3562" w:rsidRDefault="00981B50" w:rsidP="00981B50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- Grupos de discusión </w:t>
            </w:r>
          </w:p>
          <w:p w14:paraId="338268C4" w14:textId="595A53F2" w:rsidR="00537F9B" w:rsidRPr="008C3562" w:rsidRDefault="00981B50" w:rsidP="00537F9B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- Trabajos de elaboración grupal e individual</w:t>
            </w:r>
          </w:p>
          <w:p w14:paraId="7C33CD9A" w14:textId="12101C1F" w:rsidR="00813B97" w:rsidRPr="008C3562" w:rsidRDefault="00813B97" w:rsidP="00537F9B">
            <w:pPr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448" w:type="pct"/>
            <w:vAlign w:val="center"/>
          </w:tcPr>
          <w:p w14:paraId="0BDC2211" w14:textId="24F92408" w:rsidR="00981B50" w:rsidRPr="008C3562" w:rsidRDefault="00981B50" w:rsidP="00F95F8E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lastRenderedPageBreak/>
              <w:t>Artículos especializados</w:t>
            </w:r>
          </w:p>
          <w:p w14:paraId="6548355B" w14:textId="77777777" w:rsidR="00981B50" w:rsidRPr="008C3562" w:rsidRDefault="00981B50" w:rsidP="00981B50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>Libros sobre los diferentes temas</w:t>
            </w:r>
          </w:p>
          <w:p w14:paraId="6D15A469" w14:textId="77777777" w:rsidR="00981B50" w:rsidRPr="008C3562" w:rsidRDefault="00981B50" w:rsidP="00981B50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>Análisis de casos</w:t>
            </w:r>
          </w:p>
          <w:p w14:paraId="7DD2010B" w14:textId="77777777" w:rsidR="00981B50" w:rsidRPr="008C3562" w:rsidRDefault="00981B50" w:rsidP="00981B50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>Videos documentales</w:t>
            </w:r>
          </w:p>
          <w:p w14:paraId="211A6D21" w14:textId="77777777" w:rsidR="00981B50" w:rsidRPr="008C3562" w:rsidRDefault="004D1DE4" w:rsidP="00981B50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>Consulta a especialistas</w:t>
            </w:r>
          </w:p>
          <w:p w14:paraId="6A638E7E" w14:textId="03605145" w:rsidR="004D1DE4" w:rsidRPr="008C3562" w:rsidRDefault="004D1DE4" w:rsidP="004D1DE4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8C3562" w14:paraId="4BC04991" w14:textId="77777777" w:rsidTr="008C3562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14:paraId="2B83BF9D" w14:textId="0DD95326" w:rsidR="00813B97" w:rsidRPr="008C356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14:paraId="785ABAE1" w14:textId="77777777" w:rsidR="00813B97" w:rsidRPr="008C3562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8C3562" w14:paraId="14653814" w14:textId="77777777" w:rsidTr="008C3562">
        <w:trPr>
          <w:jc w:val="center"/>
        </w:trPr>
        <w:tc>
          <w:tcPr>
            <w:tcW w:w="2552" w:type="pct"/>
          </w:tcPr>
          <w:p w14:paraId="01CBB227" w14:textId="36FEF5EA" w:rsidR="004D1DE4" w:rsidRPr="008C3562" w:rsidRDefault="0046693E" w:rsidP="00E4181E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>Etnografí</w:t>
            </w:r>
            <w:r w:rsidR="004D1DE4" w:rsidRPr="008C3562">
              <w:rPr>
                <w:rFonts w:eastAsia="Times New Roman" w:cs="Arial"/>
                <w:sz w:val="20"/>
                <w:szCs w:val="20"/>
              </w:rPr>
              <w:t xml:space="preserve">as </w:t>
            </w:r>
          </w:p>
          <w:p w14:paraId="5BCF6745" w14:textId="1ED0F3B0" w:rsidR="004D1DE4" w:rsidRPr="008C3562" w:rsidRDefault="00E4181E" w:rsidP="004D1DE4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>Resú</w:t>
            </w:r>
            <w:r w:rsidR="004D1DE4" w:rsidRPr="008C3562">
              <w:rPr>
                <w:rFonts w:eastAsia="Times New Roman" w:cs="Arial"/>
                <w:sz w:val="20"/>
                <w:szCs w:val="20"/>
              </w:rPr>
              <w:t>menes ana</w:t>
            </w:r>
            <w:r w:rsidR="00B6705F" w:rsidRPr="008C3562">
              <w:rPr>
                <w:rFonts w:eastAsia="Times New Roman" w:cs="Arial"/>
                <w:sz w:val="20"/>
                <w:szCs w:val="20"/>
              </w:rPr>
              <w:t>l</w:t>
            </w:r>
            <w:r w:rsidR="004D1DE4" w:rsidRPr="008C3562">
              <w:rPr>
                <w:rFonts w:eastAsia="Times New Roman" w:cs="Arial"/>
                <w:sz w:val="20"/>
                <w:szCs w:val="20"/>
              </w:rPr>
              <w:t>íticos</w:t>
            </w:r>
          </w:p>
          <w:p w14:paraId="666218C0" w14:textId="488EBB3A" w:rsidR="004D1DE4" w:rsidRPr="008C3562" w:rsidRDefault="004D1DE4" w:rsidP="004D1DE4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 xml:space="preserve">Mapas </w:t>
            </w:r>
            <w:r w:rsidR="00B6705F" w:rsidRPr="008C3562">
              <w:rPr>
                <w:rFonts w:eastAsia="Times New Roman" w:cs="Arial"/>
                <w:sz w:val="20"/>
                <w:szCs w:val="20"/>
              </w:rPr>
              <w:t>conceptu</w:t>
            </w:r>
            <w:r w:rsidRPr="008C3562">
              <w:rPr>
                <w:rFonts w:eastAsia="Times New Roman" w:cs="Arial"/>
                <w:sz w:val="20"/>
                <w:szCs w:val="20"/>
              </w:rPr>
              <w:t>ales</w:t>
            </w:r>
          </w:p>
          <w:p w14:paraId="6095AB20" w14:textId="78755A20" w:rsidR="004D1DE4" w:rsidRPr="008C3562" w:rsidRDefault="004D1DE4" w:rsidP="004D1DE4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>Ensayos</w:t>
            </w:r>
          </w:p>
          <w:p w14:paraId="6C9DC2B4" w14:textId="77777777" w:rsidR="004D1DE4" w:rsidRPr="008C3562" w:rsidRDefault="004D1DE4" w:rsidP="004D1DE4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>Portafolio de evidencias</w:t>
            </w:r>
          </w:p>
          <w:p w14:paraId="62C491D3" w14:textId="6C6D598D" w:rsidR="004D1DE4" w:rsidRPr="008C3562" w:rsidRDefault="004D1DE4" w:rsidP="004D1DE4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8C3562">
              <w:rPr>
                <w:rFonts w:eastAsia="Times New Roman" w:cs="Arial"/>
                <w:sz w:val="20"/>
                <w:szCs w:val="20"/>
              </w:rPr>
              <w:t>Proyectos de asesoría</w:t>
            </w:r>
          </w:p>
          <w:p w14:paraId="2AD31505" w14:textId="3C74AAAD" w:rsidR="004D1DE4" w:rsidRPr="008C3562" w:rsidRDefault="004D1DE4" w:rsidP="004D1DE4">
            <w:pPr>
              <w:pStyle w:val="Prrafodelista"/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48" w:type="pct"/>
          </w:tcPr>
          <w:p w14:paraId="68009A2E" w14:textId="758D98B1" w:rsidR="00537F9B" w:rsidRPr="008C3562" w:rsidRDefault="00537F9B" w:rsidP="00537F9B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Asistencia, participación documentada y pertinente </w:t>
            </w:r>
            <w:proofErr w:type="gramStart"/>
            <w:r w:rsidRPr="008C3562">
              <w:rPr>
                <w:rFonts w:cs="Arial"/>
                <w:sz w:val="20"/>
                <w:szCs w:val="20"/>
              </w:rPr>
              <w:t>de acuerdo a</w:t>
            </w:r>
            <w:proofErr w:type="gramEnd"/>
            <w:r w:rsidRPr="008C3562">
              <w:rPr>
                <w:rFonts w:cs="Arial"/>
                <w:sz w:val="20"/>
                <w:szCs w:val="20"/>
              </w:rPr>
              <w:t xml:space="preserve"> lecturas previas o en clase </w:t>
            </w:r>
          </w:p>
          <w:p w14:paraId="7A27C96C" w14:textId="394BEEDF" w:rsidR="00537F9B" w:rsidRPr="008C3562" w:rsidRDefault="00537F9B" w:rsidP="00537F9B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Resúmenes analíticos, cuadros sinópticos y trabajos en clase, individuales y en equipo </w:t>
            </w:r>
          </w:p>
          <w:p w14:paraId="636737F5" w14:textId="45630D03" w:rsidR="00537F9B" w:rsidRPr="008C3562" w:rsidRDefault="00537F9B" w:rsidP="00537F9B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Exposiciones </w:t>
            </w:r>
          </w:p>
          <w:p w14:paraId="387D4AD9" w14:textId="77777777" w:rsidR="00813B97" w:rsidRPr="008C3562" w:rsidRDefault="00537F9B" w:rsidP="00537F9B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Portafolio de evidencias </w:t>
            </w:r>
          </w:p>
          <w:p w14:paraId="46EA3468" w14:textId="21E94EC1" w:rsidR="006407A2" w:rsidRPr="008C3562" w:rsidRDefault="006407A2" w:rsidP="00537F9B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Etnografias</w:t>
            </w:r>
          </w:p>
          <w:p w14:paraId="7EDA3662" w14:textId="39AD42D8" w:rsidR="006407A2" w:rsidRPr="008C3562" w:rsidRDefault="006407A2" w:rsidP="00537F9B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Proyectos de asesoria</w:t>
            </w:r>
          </w:p>
        </w:tc>
      </w:tr>
    </w:tbl>
    <w:tbl>
      <w:tblPr>
        <w:tblpPr w:leftFromText="141" w:rightFromText="141" w:vertAnchor="text" w:horzAnchor="margin" w:tblpX="35" w:tblpY="251"/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9"/>
        <w:gridCol w:w="4454"/>
      </w:tblGrid>
      <w:tr w:rsidR="00813B97" w:rsidRPr="008C3562" w14:paraId="4AC0A532" w14:textId="77777777" w:rsidTr="003E471C">
        <w:tc>
          <w:tcPr>
            <w:tcW w:w="5000" w:type="pct"/>
            <w:gridSpan w:val="2"/>
            <w:shd w:val="clear" w:color="auto" w:fill="5B9BD5" w:themeFill="accent5"/>
          </w:tcPr>
          <w:bookmarkEnd w:id="1"/>
          <w:p w14:paraId="0A250F17" w14:textId="77777777" w:rsidR="00813B97" w:rsidRPr="008C3562" w:rsidRDefault="00813B97" w:rsidP="003E471C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8C3562" w14:paraId="57155137" w14:textId="77777777" w:rsidTr="003E471C">
        <w:tc>
          <w:tcPr>
            <w:tcW w:w="2559" w:type="pct"/>
            <w:shd w:val="clear" w:color="auto" w:fill="5B9BD5" w:themeFill="accent5"/>
          </w:tcPr>
          <w:p w14:paraId="5B8E3FB6" w14:textId="77777777" w:rsidR="00813B97" w:rsidRPr="008C3562" w:rsidRDefault="00996B9F" w:rsidP="003E471C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14:paraId="7B2F0D11" w14:textId="77777777" w:rsidR="00813B97" w:rsidRPr="008C3562" w:rsidRDefault="00996B9F" w:rsidP="003E471C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8C3562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8C3562" w14:paraId="56CD3664" w14:textId="77777777" w:rsidTr="003E471C">
        <w:tc>
          <w:tcPr>
            <w:tcW w:w="2559" w:type="pct"/>
          </w:tcPr>
          <w:p w14:paraId="229A4E59" w14:textId="77777777" w:rsidR="007A565A" w:rsidRPr="008C3562" w:rsidRDefault="007A565A" w:rsidP="003E471C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Bartolomé, Margarita (2002). Identidad y ciudadanía, Madrid: Narcea</w:t>
            </w:r>
          </w:p>
          <w:p w14:paraId="14BC8127" w14:textId="77777777" w:rsidR="007A565A" w:rsidRPr="008C3562" w:rsidRDefault="007A565A" w:rsidP="003E471C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Geertz, Clifford (2003). La interpretación de la cultura, Barcelona: Gedisa</w:t>
            </w:r>
          </w:p>
          <w:p w14:paraId="1EB38053" w14:textId="77777777" w:rsidR="007A565A" w:rsidRPr="008C3562" w:rsidRDefault="007A565A" w:rsidP="003E471C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Giddens, Anthony (1995). Modernidad e identidad del </w:t>
            </w:r>
            <w:proofErr w:type="gramStart"/>
            <w:r w:rsidRPr="008C3562">
              <w:rPr>
                <w:rFonts w:cs="Arial"/>
                <w:sz w:val="20"/>
                <w:szCs w:val="20"/>
              </w:rPr>
              <w:t>yo,  Barcelona</w:t>
            </w:r>
            <w:proofErr w:type="gramEnd"/>
            <w:r w:rsidRPr="008C3562">
              <w:rPr>
                <w:rFonts w:cs="Arial"/>
                <w:sz w:val="20"/>
                <w:szCs w:val="20"/>
              </w:rPr>
              <w:t>: Península</w:t>
            </w:r>
          </w:p>
          <w:p w14:paraId="674EAABF" w14:textId="77777777" w:rsidR="007A565A" w:rsidRPr="008C3562" w:rsidRDefault="007A565A" w:rsidP="003E471C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Giddens, Anthony (2008). Consecuencias de la modernidad, Madrid: Alianza Editorial</w:t>
            </w:r>
          </w:p>
          <w:p w14:paraId="4FF93CE0" w14:textId="77777777" w:rsidR="007A565A" w:rsidRPr="008C3562" w:rsidRDefault="007A565A" w:rsidP="003E471C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Giménez, Gilberto (2009). Identidades sociales, </w:t>
            </w:r>
            <w:r w:rsidRPr="008C3562">
              <w:rPr>
                <w:rFonts w:cs="Arial"/>
                <w:sz w:val="20"/>
                <w:szCs w:val="20"/>
              </w:rPr>
              <w:lastRenderedPageBreak/>
              <w:t>México: CONACULTA-Instituto Mexiquence de Cultura</w:t>
            </w:r>
          </w:p>
          <w:p w14:paraId="27A12EE6" w14:textId="77777777" w:rsidR="007A565A" w:rsidRPr="008C3562" w:rsidRDefault="007A565A" w:rsidP="003E471C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Hirsch, Ana y López, Rodrigo (coords.) (2003). Ética profesional e identidad institucional, México: UAS</w:t>
            </w:r>
          </w:p>
          <w:p w14:paraId="6D90F901" w14:textId="77777777" w:rsidR="007A565A" w:rsidRPr="008C3562" w:rsidRDefault="007A565A" w:rsidP="003E471C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Lévi-Strauss, Claude (2003). El pensamiento salvaje, México: FCE</w:t>
            </w:r>
          </w:p>
          <w:p w14:paraId="6DAD9831" w14:textId="77777777" w:rsidR="007A565A" w:rsidRPr="008C3562" w:rsidRDefault="007A565A" w:rsidP="003E471C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Lévi-Strauss, Claude (2010). Mito y significado, Madrid: Alianza Editorial</w:t>
            </w:r>
          </w:p>
          <w:p w14:paraId="37B48151" w14:textId="482AED76" w:rsidR="007A565A" w:rsidRPr="008C3562" w:rsidRDefault="007A565A" w:rsidP="003E471C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 xml:space="preserve">Navia, Cecilia (2006). </w:t>
            </w:r>
            <w:r w:rsidR="00754349" w:rsidRPr="008C3562">
              <w:rPr>
                <w:rFonts w:cs="Arial"/>
                <w:sz w:val="20"/>
                <w:szCs w:val="20"/>
              </w:rPr>
              <w:t>Autof</w:t>
            </w:r>
            <w:r w:rsidRPr="008C3562">
              <w:rPr>
                <w:rFonts w:cs="Arial"/>
                <w:sz w:val="20"/>
                <w:szCs w:val="20"/>
              </w:rPr>
              <w:t>o</w:t>
            </w:r>
            <w:r w:rsidR="00754349" w:rsidRPr="008C3562">
              <w:rPr>
                <w:rFonts w:cs="Arial"/>
                <w:sz w:val="20"/>
                <w:szCs w:val="20"/>
              </w:rPr>
              <w:t>rmación de mae</w:t>
            </w:r>
            <w:r w:rsidRPr="008C3562">
              <w:rPr>
                <w:rFonts w:cs="Arial"/>
                <w:sz w:val="20"/>
                <w:szCs w:val="20"/>
              </w:rPr>
              <w:t>s</w:t>
            </w:r>
            <w:r w:rsidR="00754349" w:rsidRPr="008C3562">
              <w:rPr>
                <w:rFonts w:cs="Arial"/>
                <w:sz w:val="20"/>
                <w:szCs w:val="20"/>
              </w:rPr>
              <w:t>t</w:t>
            </w:r>
            <w:r w:rsidRPr="008C3562">
              <w:rPr>
                <w:rFonts w:cs="Arial"/>
                <w:sz w:val="20"/>
                <w:szCs w:val="20"/>
              </w:rPr>
              <w:t>ros en los márgenes del sistema educativo. Cultura, experiencia e interacción formativa, Barcelona: Pomares</w:t>
            </w:r>
          </w:p>
          <w:p w14:paraId="2197DDA2" w14:textId="512156E4" w:rsidR="007A565A" w:rsidRPr="008C3562" w:rsidRDefault="007A565A" w:rsidP="003E471C">
            <w:pPr>
              <w:rPr>
                <w:rFonts w:cs="Arial"/>
                <w:sz w:val="20"/>
                <w:szCs w:val="20"/>
              </w:rPr>
            </w:pPr>
            <w:r w:rsidRPr="008C3562">
              <w:rPr>
                <w:rFonts w:cs="Arial"/>
                <w:sz w:val="20"/>
                <w:szCs w:val="20"/>
              </w:rPr>
              <w:t>Vygotsky, Lev (1996). Pensamiento y lenguaje, México: Ediciones Quinto Sol</w:t>
            </w:r>
          </w:p>
        </w:tc>
        <w:tc>
          <w:tcPr>
            <w:tcW w:w="2441" w:type="pct"/>
          </w:tcPr>
          <w:p w14:paraId="5A1E486C" w14:textId="0529EAB2" w:rsidR="00813B97" w:rsidRPr="008C3562" w:rsidRDefault="00813B97" w:rsidP="003E471C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14:paraId="1759475F" w14:textId="77777777" w:rsidR="00813B97" w:rsidRPr="008C3562" w:rsidRDefault="00813B97">
      <w:pPr>
        <w:rPr>
          <w:rFonts w:cs="Arial"/>
          <w:sz w:val="20"/>
          <w:szCs w:val="20"/>
        </w:rPr>
      </w:pPr>
    </w:p>
    <w:sectPr w:rsidR="00813B97" w:rsidRPr="008C35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56587" w14:textId="77777777" w:rsidR="00C84B07" w:rsidRDefault="00C84B07" w:rsidP="008C3562">
      <w:pPr>
        <w:spacing w:after="0" w:line="240" w:lineRule="auto"/>
      </w:pPr>
      <w:r>
        <w:separator/>
      </w:r>
    </w:p>
  </w:endnote>
  <w:endnote w:type="continuationSeparator" w:id="0">
    <w:p w14:paraId="2A5ED3EA" w14:textId="77777777" w:rsidR="00C84B07" w:rsidRDefault="00C84B07" w:rsidP="008C3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1311B" w14:textId="77777777" w:rsidR="00C84B07" w:rsidRDefault="00C84B07" w:rsidP="008C3562">
      <w:pPr>
        <w:spacing w:after="0" w:line="240" w:lineRule="auto"/>
      </w:pPr>
      <w:r>
        <w:separator/>
      </w:r>
    </w:p>
  </w:footnote>
  <w:footnote w:type="continuationSeparator" w:id="0">
    <w:p w14:paraId="02C906EB" w14:textId="77777777" w:rsidR="00C84B07" w:rsidRDefault="00C84B07" w:rsidP="008C3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201"/>
      <w:gridCol w:w="1929"/>
    </w:tblGrid>
    <w:tr w:rsidR="008C3562" w:rsidRPr="004B10D1" w14:paraId="43E28403" w14:textId="77777777" w:rsidTr="008F30C0">
      <w:trPr>
        <w:trHeight w:val="600"/>
      </w:trPr>
      <w:tc>
        <w:tcPr>
          <w:tcW w:w="9968" w:type="dxa"/>
          <w:vAlign w:val="center"/>
        </w:tcPr>
        <w:p w14:paraId="5FB4322A" w14:textId="3C35815D" w:rsidR="008C3562" w:rsidRPr="0090363F" w:rsidRDefault="008C3562" w:rsidP="008C3562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Influencias socioculturales en el desarrollo de la identidad</w:t>
          </w:r>
        </w:p>
      </w:tc>
      <w:tc>
        <w:tcPr>
          <w:tcW w:w="2786" w:type="dxa"/>
        </w:tcPr>
        <w:p w14:paraId="1EF54EF3" w14:textId="77777777" w:rsidR="008C3562" w:rsidRPr="004B10D1" w:rsidRDefault="008C3562" w:rsidP="008C3562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3872" behindDoc="0" locked="0" layoutInCell="1" allowOverlap="1" wp14:anchorId="63EF48B8" wp14:editId="6DC5AEAE">
                <wp:simplePos x="0" y="0"/>
                <wp:positionH relativeFrom="column">
                  <wp:posOffset>15240</wp:posOffset>
                </wp:positionH>
                <wp:positionV relativeFrom="paragraph">
                  <wp:posOffset>-200025</wp:posOffset>
                </wp:positionV>
                <wp:extent cx="1470025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2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14:paraId="6108EFBF" w14:textId="77777777" w:rsidR="008C3562" w:rsidRDefault="008C35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85780"/>
    <w:multiLevelType w:val="hybridMultilevel"/>
    <w:tmpl w:val="2EB2BAD4"/>
    <w:lvl w:ilvl="0" w:tplc="BCC450EE">
      <w:start w:val="4"/>
      <w:numFmt w:val="bullet"/>
      <w:lvlText w:val="-"/>
      <w:lvlJc w:val="left"/>
      <w:pPr>
        <w:ind w:left="720" w:hanging="360"/>
      </w:pPr>
      <w:rPr>
        <w:rFonts w:ascii="Gandhi Sans" w:eastAsia="Times New Roman" w:hAnsi="Gandhi Sans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209C6"/>
    <w:multiLevelType w:val="hybridMultilevel"/>
    <w:tmpl w:val="6576C008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F4080"/>
    <w:multiLevelType w:val="hybridMultilevel"/>
    <w:tmpl w:val="F534978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B3DD7"/>
    <w:multiLevelType w:val="hybridMultilevel"/>
    <w:tmpl w:val="51F82110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24048"/>
    <w:multiLevelType w:val="hybridMultilevel"/>
    <w:tmpl w:val="1DACD2A6"/>
    <w:lvl w:ilvl="0" w:tplc="E53CF2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C452FA"/>
    <w:multiLevelType w:val="hybridMultilevel"/>
    <w:tmpl w:val="E5F6B012"/>
    <w:lvl w:ilvl="0" w:tplc="FE4A1EEE">
      <w:start w:val="4"/>
      <w:numFmt w:val="bullet"/>
      <w:lvlText w:val="-"/>
      <w:lvlJc w:val="left"/>
      <w:pPr>
        <w:ind w:left="720" w:hanging="360"/>
      </w:pPr>
      <w:rPr>
        <w:rFonts w:ascii="Gandhi Sans" w:eastAsia="Times New Roman" w:hAnsi="Gandhi Sans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E1E6C"/>
    <w:multiLevelType w:val="multilevel"/>
    <w:tmpl w:val="8EC82892"/>
    <w:lvl w:ilvl="0">
      <w:start w:val="1"/>
      <w:numFmt w:val="decimal"/>
      <w:lvlText w:val="%1)"/>
      <w:lvlJc w:val="left"/>
      <w:pPr>
        <w:tabs>
          <w:tab w:val="num" w:pos="113"/>
        </w:tabs>
        <w:ind w:left="170" w:hanging="11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97" w:hanging="11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624" w:hanging="11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6D2617AE"/>
    <w:multiLevelType w:val="hybridMultilevel"/>
    <w:tmpl w:val="3D64AE2A"/>
    <w:lvl w:ilvl="0" w:tplc="0AD03E54">
      <w:start w:val="1"/>
      <w:numFmt w:val="bullet"/>
      <w:lvlText w:val=""/>
      <w:lvlJc w:val="left"/>
      <w:pPr>
        <w:tabs>
          <w:tab w:val="num" w:pos="113"/>
        </w:tabs>
        <w:ind w:left="170" w:hanging="11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W2MDIyNjOzNDEzNzNX0lEKTi0uzszPAykwrAUAoZ8ZiCwAAAA="/>
  </w:docVars>
  <w:rsids>
    <w:rsidRoot w:val="00813B97"/>
    <w:rsid w:val="00005575"/>
    <w:rsid w:val="000370BC"/>
    <w:rsid w:val="000406AF"/>
    <w:rsid w:val="00061FC4"/>
    <w:rsid w:val="000C15B1"/>
    <w:rsid w:val="00116D5F"/>
    <w:rsid w:val="001371E5"/>
    <w:rsid w:val="00137F71"/>
    <w:rsid w:val="001504E8"/>
    <w:rsid w:val="001B17C3"/>
    <w:rsid w:val="001E2A9E"/>
    <w:rsid w:val="00253CBD"/>
    <w:rsid w:val="00290066"/>
    <w:rsid w:val="00290D6D"/>
    <w:rsid w:val="0029254E"/>
    <w:rsid w:val="0029343F"/>
    <w:rsid w:val="002D0397"/>
    <w:rsid w:val="00313ECE"/>
    <w:rsid w:val="0036474D"/>
    <w:rsid w:val="00377772"/>
    <w:rsid w:val="003D60B1"/>
    <w:rsid w:val="003E471C"/>
    <w:rsid w:val="00420AF2"/>
    <w:rsid w:val="00453B25"/>
    <w:rsid w:val="00460268"/>
    <w:rsid w:val="0046693E"/>
    <w:rsid w:val="00481BCF"/>
    <w:rsid w:val="004B0FA1"/>
    <w:rsid w:val="004D1DE4"/>
    <w:rsid w:val="00533A3C"/>
    <w:rsid w:val="00537F9B"/>
    <w:rsid w:val="005A2D92"/>
    <w:rsid w:val="005F0929"/>
    <w:rsid w:val="005F2424"/>
    <w:rsid w:val="00604754"/>
    <w:rsid w:val="0061497C"/>
    <w:rsid w:val="00636808"/>
    <w:rsid w:val="006407A2"/>
    <w:rsid w:val="0064682F"/>
    <w:rsid w:val="00665190"/>
    <w:rsid w:val="00686C3A"/>
    <w:rsid w:val="006A22BA"/>
    <w:rsid w:val="006B2B1B"/>
    <w:rsid w:val="006D1BE7"/>
    <w:rsid w:val="006D46E9"/>
    <w:rsid w:val="006F7859"/>
    <w:rsid w:val="00742F6F"/>
    <w:rsid w:val="00754349"/>
    <w:rsid w:val="007545A7"/>
    <w:rsid w:val="00793E90"/>
    <w:rsid w:val="00794ED8"/>
    <w:rsid w:val="007A565A"/>
    <w:rsid w:val="007C12C6"/>
    <w:rsid w:val="00813B97"/>
    <w:rsid w:val="0082758A"/>
    <w:rsid w:val="00872CA6"/>
    <w:rsid w:val="008B20AE"/>
    <w:rsid w:val="008C2023"/>
    <w:rsid w:val="008C3562"/>
    <w:rsid w:val="008C6000"/>
    <w:rsid w:val="0091190F"/>
    <w:rsid w:val="009525EC"/>
    <w:rsid w:val="0095664C"/>
    <w:rsid w:val="0096130D"/>
    <w:rsid w:val="00974F56"/>
    <w:rsid w:val="00981B50"/>
    <w:rsid w:val="009877D1"/>
    <w:rsid w:val="009913BB"/>
    <w:rsid w:val="00996B9F"/>
    <w:rsid w:val="009C560A"/>
    <w:rsid w:val="00A03123"/>
    <w:rsid w:val="00A525A1"/>
    <w:rsid w:val="00A64667"/>
    <w:rsid w:val="00A97AE7"/>
    <w:rsid w:val="00AD683F"/>
    <w:rsid w:val="00AD7650"/>
    <w:rsid w:val="00B06900"/>
    <w:rsid w:val="00B25D27"/>
    <w:rsid w:val="00B50B59"/>
    <w:rsid w:val="00B6705F"/>
    <w:rsid w:val="00BC2CFF"/>
    <w:rsid w:val="00BF0885"/>
    <w:rsid w:val="00C2526B"/>
    <w:rsid w:val="00C26245"/>
    <w:rsid w:val="00C43001"/>
    <w:rsid w:val="00C62100"/>
    <w:rsid w:val="00C84B07"/>
    <w:rsid w:val="00D14AB0"/>
    <w:rsid w:val="00D2085C"/>
    <w:rsid w:val="00D27827"/>
    <w:rsid w:val="00DB6E22"/>
    <w:rsid w:val="00DD4DD2"/>
    <w:rsid w:val="00DE4B9A"/>
    <w:rsid w:val="00DF4EA5"/>
    <w:rsid w:val="00E4181E"/>
    <w:rsid w:val="00E631A8"/>
    <w:rsid w:val="00E816F1"/>
    <w:rsid w:val="00EA33E3"/>
    <w:rsid w:val="00EA73F9"/>
    <w:rsid w:val="00EB05C6"/>
    <w:rsid w:val="00F54DDF"/>
    <w:rsid w:val="00F95F8E"/>
    <w:rsid w:val="00FA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30682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B50B5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C35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562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8C35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562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1362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2017-05-29T17:07:00Z</dcterms:created>
  <dcterms:modified xsi:type="dcterms:W3CDTF">2018-05-07T15:29:00Z</dcterms:modified>
</cp:coreProperties>
</file>