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2830F1" w:rsidTr="002830F1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2830F1" w:rsidTr="002830F1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2830F1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2830F1" w:rsidTr="002830F1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2830F1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AD4C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Seminario de titulación I 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2830F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SHLI06002</w:t>
            </w:r>
          </w:p>
        </w:tc>
      </w:tr>
      <w:tr w:rsidR="00813B97" w:rsidRPr="002830F1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2830F1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AD4C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09/0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2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2830F1" w:rsidTr="002830F1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AD4C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MTRA. MARIBEL LOZANO REYES </w:t>
            </w:r>
          </w:p>
        </w:tc>
      </w:tr>
      <w:tr w:rsidR="00813B97" w:rsidRPr="002830F1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830F1" w:rsidTr="002830F1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830F1" w:rsidRDefault="00636A2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830F1" w:rsidRDefault="00172C1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78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0A56FA" w:rsidRDefault="00172C1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2830F1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AD4C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830F1" w:rsidRDefault="00636A2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1</w:t>
            </w:r>
            <w:r w:rsidR="00172C16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50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2830F1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0A56F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FB1804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693A6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Investigación II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830F1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830F1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2830F1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Metodológica</w:t>
            </w:r>
          </w:p>
        </w:tc>
      </w:tr>
      <w:tr w:rsidR="00813B97" w:rsidRPr="002830F1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0A56F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Básica común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(    ) Complementaria  </w:t>
            </w:r>
          </w:p>
        </w:tc>
      </w:tr>
      <w:tr w:rsidR="00813B97" w:rsidRPr="002830F1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   ) Taller   (    ) Laboratorio  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Seminario</w:t>
            </w:r>
          </w:p>
        </w:tc>
      </w:tr>
      <w:tr w:rsidR="00813B97" w:rsidRPr="002830F1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830F1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Recursable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Optativa 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2830F1" w:rsidTr="002830F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830F1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2830F1" w:rsidTr="002830F1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13B97" w:rsidRPr="002830F1" w:rsidRDefault="00813B97" w:rsidP="0063074F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636A2D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 estudios o experiencia historia, filosofía, pedagogía, metodología de la investigación, investigación educativa o carreras afines a la fundamentación teórica y metodológica en el campo </w:t>
            </w:r>
            <w:r w:rsidR="00A64567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educativo</w:t>
            </w:r>
            <w:r w:rsidR="00636A2D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A64567" w:rsidRDefault="00636A2D" w:rsidP="0063074F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gramStart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</w:t>
            </w:r>
            <w:proofErr w:type="gramEnd"/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debe contar con estudios mínimos de maestría o doctorado en educación, pedagogía, filosofía </w:t>
            </w:r>
            <w:r w:rsidR="00A64567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 historia y con una experiencia mínima dentro del campo formativo en el nivel superior de por lo menos dos años. </w:t>
            </w:r>
          </w:p>
          <w:p w:rsidR="000A56FA" w:rsidRPr="002830F1" w:rsidRDefault="000A56FA" w:rsidP="0063074F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sugiere que el profesor </w:t>
            </w:r>
            <w:r w:rsidR="007A7C14">
              <w:rPr>
                <w:rFonts w:eastAsia="Times New Roman" w:cs="Arial"/>
                <w:bCs/>
                <w:spacing w:val="-1"/>
                <w:sz w:val="20"/>
                <w:szCs w:val="20"/>
              </w:rPr>
              <w:t>que imparta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esta UDA posea las siguientes competencias docentes:</w:t>
            </w:r>
          </w:p>
          <w:p w:rsidR="0063074F" w:rsidRPr="000A56FA" w:rsidRDefault="0063074F" w:rsidP="000A56FA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636A2D" w:rsidRPr="000A56FA" w:rsidRDefault="0063074F" w:rsidP="000A56FA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Se requiere que sea un experto en la disciplina o disciplinas afines a los programas educativos en los que participa, contribuyendo a una formación integral del estudiante, de vanguardia, pertinente, útil para la vida y el trabajo profesional.</w:t>
            </w:r>
          </w:p>
          <w:p w:rsidR="0063074F" w:rsidRPr="000A56FA" w:rsidRDefault="0063074F" w:rsidP="000A56FA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Diseña y emplea diferentes ambientes, herramientas y recursos didácticos para promover en los estudiantes el aprendizaje de contenidos disciplinares.</w:t>
            </w:r>
          </w:p>
          <w:p w:rsidR="00996B9F" w:rsidRPr="000A56FA" w:rsidRDefault="0063074F" w:rsidP="000A56FA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830F1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</w:tcPr>
          <w:p w:rsidR="0063074F" w:rsidRPr="002830F1" w:rsidRDefault="00813B97" w:rsidP="000A56FA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 competencia genérica institucional</w:t>
            </w:r>
          </w:p>
          <w:p w:rsidR="0063074F" w:rsidRPr="002830F1" w:rsidRDefault="0063074F" w:rsidP="000A56FA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63074F" w:rsidRPr="002830F1" w:rsidRDefault="0063074F" w:rsidP="000A56FA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63074F" w:rsidRPr="002830F1" w:rsidRDefault="008E29CE" w:rsidP="000A56FA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CG4. Elige y practica estilos de vida saludables que le permiten un desempeño académico y profesional equilibrado.</w:t>
            </w:r>
          </w:p>
          <w:p w:rsidR="008E29CE" w:rsidRPr="002830F1" w:rsidRDefault="008E29CE" w:rsidP="000A56FA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8E29CE" w:rsidRPr="002830F1" w:rsidRDefault="008E29CE" w:rsidP="000A56FA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8E29CE" w:rsidRPr="002830F1" w:rsidRDefault="008E29CE" w:rsidP="000A56FA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813B97" w:rsidRPr="002830F1" w:rsidRDefault="00813B97" w:rsidP="000A56FA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7A7C14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8E29CE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7A7C14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E29CE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7A7C14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E29CE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7A7C14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8E29CE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CE1. Domina la teoría y metodología curricular para orientar acciones educativas (diseño, ejecución y evaluación).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CE6. Crea y evalúa ambientes favorables y desafiantes para el aprendizaje.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CE7. Desarrolla el pensamiento lógico, crítico y creativo de los educandos.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CE9. Selecciona, utiliza y evalúa las tecnologías de la comunicación e información como recurso de enseñanza y de aprendizaje.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CE12. Genera Innovaciones en distintos ámbitos del sistema educativo.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CE13. Conoce la teoría educativa y hace uso crítico de ella en diferentes contextos.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CE15. Analiza críticamente las políticas educativas.</w:t>
            </w:r>
          </w:p>
          <w:p w:rsidR="008E29CE" w:rsidRPr="002830F1" w:rsidRDefault="008E29CE" w:rsidP="000A56FA">
            <w:pPr>
              <w:spacing w:after="0"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Genera e implementa estrategias educativas que respondan a la diversidad socio – cultural.</w:t>
            </w:r>
          </w:p>
          <w:p w:rsidR="000A56FA" w:rsidRDefault="008E29CE" w:rsidP="000A56FA">
            <w:pPr>
              <w:spacing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CE18. Interactúa social y educativamente con diferentes actores de la comunidad para favorecer los procesos de desarrollo.</w:t>
            </w:r>
          </w:p>
          <w:p w:rsidR="008E29CE" w:rsidRPr="002830F1" w:rsidRDefault="008E29CE" w:rsidP="000A56FA">
            <w:pPr>
              <w:spacing w:line="276" w:lineRule="auto"/>
              <w:ind w:left="439" w:hanging="43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830F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</w:tcPr>
          <w:p w:rsidR="00693A63" w:rsidRPr="002830F1" w:rsidRDefault="00813B97" w:rsidP="00693A6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693A63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el estudiante </w:t>
            </w:r>
            <w:r w:rsidR="009D01AA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desarrollará</w:t>
            </w:r>
            <w:r w:rsidR="00693A63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los conocimientos y habilidades para el planteamiento y desarrollo de un proyecto de investigación de acuerdo con los diferentes tipos de trabajos académicos que se presentan como opción para obtener el grado en este programa. / </w:t>
            </w:r>
            <w:r w:rsidR="00693A63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Recopilará y consultará material bibliográfico que contribuya a fortalecer sus conocimientos sobre el campo educativo.</w:t>
            </w:r>
          </w:p>
          <w:p w:rsidR="00813B97" w:rsidRPr="002830F1" w:rsidRDefault="00693A63" w:rsidP="00693A6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Además de avanzar en el trabajo realizado para </w:t>
            </w:r>
            <w:r w:rsidR="000A56FA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titulación, en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cualquiera de las cinco opciones que implican realización de trabajo o presentación de exámenes (descartando titulación por excelencia)</w:t>
            </w:r>
          </w:p>
          <w:p w:rsidR="00813B97" w:rsidRPr="002830F1" w:rsidRDefault="00813B97" w:rsidP="00693A6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8E29CE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los elementos </w:t>
            </w:r>
            <w:r w:rsidR="000A56FA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teórico-metodológicos</w:t>
            </w:r>
            <w:r w:rsidR="008E29CE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darán sustento al trabajo de</w:t>
            </w:r>
            <w:r w:rsidR="00693A63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titulación. </w:t>
            </w:r>
          </w:p>
          <w:p w:rsidR="00996B9F" w:rsidRPr="002830F1" w:rsidRDefault="00693A63" w:rsidP="00693A6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séptimo</w:t>
            </w:r>
            <w:r w:rsidR="00813B97"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 y se relaciona con la</w:t>
            </w:r>
            <w:r w:rsidRPr="002830F1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seminario de investigación II</w:t>
            </w:r>
            <w:r w:rsidR="000A56F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2830F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  <w:vAlign w:val="center"/>
          </w:tcPr>
          <w:p w:rsidR="001C3833" w:rsidRPr="001C3833" w:rsidRDefault="000A0841" w:rsidP="001C3833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C383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una actitud crítica y reflexiva ante la diversidad de situaciones que se presentan en el ámbito de lo educativo. </w:t>
            </w:r>
          </w:p>
          <w:p w:rsidR="00F54DDF" w:rsidRPr="001C3833" w:rsidRDefault="000A0841" w:rsidP="001C3833">
            <w:pPr>
              <w:pStyle w:val="Prrafodelista"/>
              <w:numPr>
                <w:ilvl w:val="0"/>
                <w:numId w:val="7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C3833">
              <w:rPr>
                <w:rFonts w:eastAsia="Times New Roman" w:cs="Arial"/>
                <w:bCs/>
                <w:spacing w:val="-1"/>
                <w:sz w:val="20"/>
                <w:szCs w:val="20"/>
              </w:rPr>
              <w:t>Prom</w:t>
            </w:r>
            <w:r w:rsidR="001C3833" w:rsidRPr="001C3833">
              <w:rPr>
                <w:rFonts w:eastAsia="Times New Roman" w:cs="Arial"/>
                <w:bCs/>
                <w:spacing w:val="-1"/>
                <w:sz w:val="20"/>
                <w:szCs w:val="20"/>
              </w:rPr>
              <w:t>ueve</w:t>
            </w:r>
            <w:r w:rsidRPr="001C383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el conocimiento y uso de diferentes enfoques teóricos y metodológicos para el análisis y la interpretación del fenómeno educativo.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830F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2830F1" w:rsidTr="002830F1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2830F1" w:rsidRDefault="003C2A24" w:rsidP="003C2A2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Antecedentes de la investigación </w:t>
            </w:r>
          </w:p>
          <w:p w:rsidR="003C2A24" w:rsidRPr="002830F1" w:rsidRDefault="003C2A24" w:rsidP="003C2A2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Formulación de planteamientos de </w:t>
            </w:r>
            <w:r w:rsidR="009D672A"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>investigación,</w:t>
            </w: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objetivos, preguntas de </w:t>
            </w:r>
            <w:r w:rsidR="001C3833"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>investigación y</w:t>
            </w: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justificación del estudio. </w:t>
            </w:r>
          </w:p>
          <w:p w:rsidR="003C2A24" w:rsidRPr="002830F1" w:rsidRDefault="003C2A24" w:rsidP="003C2A2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Planteamiento de hipótesis </w:t>
            </w:r>
          </w:p>
          <w:p w:rsidR="003C2A24" w:rsidRPr="002830F1" w:rsidRDefault="003C2A24" w:rsidP="003C2A2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Tipos de investigación </w:t>
            </w:r>
          </w:p>
          <w:p w:rsidR="003C2A24" w:rsidRPr="002830F1" w:rsidRDefault="003C2A24" w:rsidP="003C2A2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Manejo de datos </w:t>
            </w:r>
          </w:p>
          <w:p w:rsidR="003C2A24" w:rsidRPr="002830F1" w:rsidRDefault="003C2A24" w:rsidP="003C2A24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2830F1">
              <w:rPr>
                <w:rFonts w:asciiTheme="minorHAnsi" w:eastAsia="Times New Roman" w:hAnsiTheme="minorHAnsi" w:cs="Arial"/>
                <w:sz w:val="20"/>
                <w:szCs w:val="20"/>
              </w:rPr>
              <w:t>Partes de un reporte y protocolo de investigación</w:t>
            </w:r>
            <w:r w:rsidRPr="002830F1">
              <w:rPr>
                <w:rFonts w:asciiTheme="minorHAnsi" w:eastAsia="Times New Roman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813B97" w:rsidRPr="002830F1" w:rsidTr="002830F1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2830F1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2830F1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2830F1" w:rsidTr="002830F1">
        <w:trPr>
          <w:jc w:val="center"/>
        </w:trPr>
        <w:tc>
          <w:tcPr>
            <w:tcW w:w="2552" w:type="pct"/>
            <w:vAlign w:val="center"/>
          </w:tcPr>
          <w:p w:rsidR="00693A63" w:rsidRPr="000A56FA" w:rsidRDefault="00693A63" w:rsidP="000A56FA">
            <w:pPr>
              <w:pStyle w:val="Prrafodelista"/>
              <w:numPr>
                <w:ilvl w:val="0"/>
                <w:numId w:val="5"/>
              </w:numPr>
              <w:ind w:left="580" w:hanging="283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Sesiones grupales para intercambiar ideas y socializar el conocimiento.</w:t>
            </w:r>
          </w:p>
          <w:p w:rsidR="00693A63" w:rsidRPr="000A56FA" w:rsidRDefault="00693A63" w:rsidP="000A56FA">
            <w:pPr>
              <w:pStyle w:val="Prrafodelista"/>
              <w:numPr>
                <w:ilvl w:val="0"/>
                <w:numId w:val="5"/>
              </w:numPr>
              <w:ind w:left="580" w:hanging="283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Asesorías individuales para retroalimentar de manera personal el desarrollo de cada trabajo.</w:t>
            </w:r>
          </w:p>
          <w:p w:rsidR="00693A63" w:rsidRPr="000A56FA" w:rsidRDefault="00693A63" w:rsidP="000A56FA">
            <w:pPr>
              <w:pStyle w:val="Prrafodelista"/>
              <w:numPr>
                <w:ilvl w:val="0"/>
                <w:numId w:val="5"/>
              </w:numPr>
              <w:ind w:left="580" w:hanging="283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Redacción del proyecto.</w:t>
            </w:r>
          </w:p>
          <w:p w:rsidR="000A0841" w:rsidRPr="000A56FA" w:rsidRDefault="000A0841" w:rsidP="000A56FA">
            <w:pPr>
              <w:pStyle w:val="Prrafodelista"/>
              <w:numPr>
                <w:ilvl w:val="0"/>
                <w:numId w:val="5"/>
              </w:numPr>
              <w:ind w:left="580" w:hanging="283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 xml:space="preserve">Lecturas previas </w:t>
            </w:r>
          </w:p>
          <w:p w:rsidR="00813B97" w:rsidRPr="000A56FA" w:rsidRDefault="000A0841" w:rsidP="000A56FA">
            <w:pPr>
              <w:pStyle w:val="Prrafodelista"/>
              <w:numPr>
                <w:ilvl w:val="0"/>
                <w:numId w:val="5"/>
              </w:numPr>
              <w:ind w:left="580" w:hanging="283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 xml:space="preserve">Análisis de información </w:t>
            </w:r>
          </w:p>
        </w:tc>
        <w:tc>
          <w:tcPr>
            <w:tcW w:w="2448" w:type="pct"/>
            <w:vAlign w:val="center"/>
          </w:tcPr>
          <w:p w:rsidR="00813B97" w:rsidRPr="002830F1" w:rsidRDefault="00693A63" w:rsidP="00693A6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Referencias bibliográficas, videos, au</w:t>
            </w:r>
            <w:r w:rsidR="00090FAF" w:rsidRPr="002830F1">
              <w:rPr>
                <w:rFonts w:eastAsia="Times New Roman" w:cs="Arial"/>
                <w:sz w:val="20"/>
                <w:szCs w:val="20"/>
              </w:rPr>
              <w:t xml:space="preserve">diovisuales, material </w:t>
            </w:r>
            <w:r w:rsidR="001C3833" w:rsidRPr="002830F1">
              <w:rPr>
                <w:rFonts w:eastAsia="Times New Roman" w:cs="Arial"/>
                <w:sz w:val="20"/>
                <w:szCs w:val="20"/>
              </w:rPr>
              <w:t>didáctico,</w:t>
            </w:r>
            <w:r w:rsidRPr="002830F1">
              <w:rPr>
                <w:rFonts w:eastAsia="Times New Roman" w:cs="Arial"/>
                <w:sz w:val="20"/>
                <w:szCs w:val="20"/>
              </w:rPr>
              <w:t xml:space="preserve"> mesas, sillas, pizarrón, </w:t>
            </w:r>
            <w:r w:rsidR="001C3833" w:rsidRPr="002830F1">
              <w:rPr>
                <w:rFonts w:eastAsia="Times New Roman" w:cs="Arial"/>
                <w:sz w:val="20"/>
                <w:szCs w:val="20"/>
              </w:rPr>
              <w:t>plumones, cañón</w:t>
            </w:r>
            <w:bookmarkStart w:id="1" w:name="_GoBack"/>
            <w:bookmarkEnd w:id="1"/>
            <w:r w:rsidRPr="002830F1">
              <w:rPr>
                <w:rFonts w:eastAsia="Times New Roman" w:cs="Arial"/>
                <w:sz w:val="20"/>
                <w:szCs w:val="20"/>
              </w:rPr>
              <w:t xml:space="preserve">, equipo de cómputo, hojas blancas, hojas de portafolio, fotocopias. </w:t>
            </w:r>
          </w:p>
        </w:tc>
      </w:tr>
      <w:tr w:rsidR="00813B97" w:rsidRPr="002830F1" w:rsidTr="002830F1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2830F1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2830F1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2830F1" w:rsidTr="002830F1">
        <w:trPr>
          <w:jc w:val="center"/>
        </w:trPr>
        <w:tc>
          <w:tcPr>
            <w:tcW w:w="2552" w:type="pct"/>
          </w:tcPr>
          <w:p w:rsidR="00693A63" w:rsidRPr="000A56FA" w:rsidRDefault="00693A63" w:rsidP="000A56FA">
            <w:pPr>
              <w:pStyle w:val="Prrafodelista"/>
              <w:numPr>
                <w:ilvl w:val="0"/>
                <w:numId w:val="6"/>
              </w:numPr>
              <w:spacing w:after="0"/>
              <w:ind w:left="580" w:hanging="220"/>
              <w:jc w:val="both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Proyecto de trabajo de titulación para obtener el grado de licenciatura.</w:t>
            </w:r>
          </w:p>
          <w:p w:rsidR="00813B97" w:rsidRPr="000A56FA" w:rsidRDefault="00693A63" w:rsidP="000A56FA">
            <w:pPr>
              <w:pStyle w:val="Prrafodelista"/>
              <w:numPr>
                <w:ilvl w:val="0"/>
                <w:numId w:val="6"/>
              </w:numPr>
              <w:spacing w:after="0"/>
              <w:ind w:left="580" w:hanging="220"/>
              <w:jc w:val="both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 xml:space="preserve">Cronograma de trabajo con la </w:t>
            </w:r>
            <w:r w:rsidR="001C3833" w:rsidRPr="000A56FA">
              <w:rPr>
                <w:rFonts w:eastAsia="Times New Roman" w:cs="Arial"/>
                <w:sz w:val="20"/>
                <w:szCs w:val="20"/>
              </w:rPr>
              <w:t>lista bibliográfica</w:t>
            </w:r>
            <w:r w:rsidRPr="000A56FA">
              <w:rPr>
                <w:rFonts w:eastAsia="Times New Roman" w:cs="Arial"/>
                <w:sz w:val="20"/>
                <w:szCs w:val="20"/>
              </w:rPr>
              <w:t xml:space="preserve"> y los reportes de lectura programados.</w:t>
            </w:r>
          </w:p>
          <w:p w:rsidR="000A0841" w:rsidRPr="000A56FA" w:rsidRDefault="000A0841" w:rsidP="000A56FA">
            <w:pPr>
              <w:pStyle w:val="Prrafodelista"/>
              <w:numPr>
                <w:ilvl w:val="0"/>
                <w:numId w:val="6"/>
              </w:numPr>
              <w:spacing w:after="0"/>
              <w:ind w:left="580" w:hanging="220"/>
              <w:jc w:val="both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Avances en las sesiones del seminario.</w:t>
            </w:r>
          </w:p>
          <w:p w:rsidR="000A0841" w:rsidRPr="000A56FA" w:rsidRDefault="000A0841" w:rsidP="000A56FA">
            <w:pPr>
              <w:pStyle w:val="Prrafodelista"/>
              <w:numPr>
                <w:ilvl w:val="0"/>
                <w:numId w:val="6"/>
              </w:numPr>
              <w:spacing w:after="0"/>
              <w:ind w:left="580" w:hanging="220"/>
              <w:jc w:val="both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Asistencia a la asesoría personalizada.</w:t>
            </w:r>
          </w:p>
          <w:p w:rsidR="000A0841" w:rsidRPr="000A56FA" w:rsidRDefault="000A0841" w:rsidP="000A56FA">
            <w:pPr>
              <w:pStyle w:val="Prrafodelista"/>
              <w:numPr>
                <w:ilvl w:val="0"/>
                <w:numId w:val="6"/>
              </w:numPr>
              <w:spacing w:after="0"/>
              <w:ind w:left="580" w:hanging="220"/>
              <w:jc w:val="both"/>
              <w:rPr>
                <w:rFonts w:eastAsia="Times New Roman" w:cs="Arial"/>
                <w:sz w:val="20"/>
                <w:szCs w:val="20"/>
              </w:rPr>
            </w:pPr>
            <w:r w:rsidRPr="000A56FA">
              <w:rPr>
                <w:rFonts w:eastAsia="Times New Roman" w:cs="Arial"/>
                <w:sz w:val="20"/>
                <w:szCs w:val="20"/>
              </w:rPr>
              <w:t>Versión corregida del proyecto.</w:t>
            </w:r>
          </w:p>
        </w:tc>
        <w:tc>
          <w:tcPr>
            <w:tcW w:w="2448" w:type="pct"/>
          </w:tcPr>
          <w:p w:rsidR="00813B97" w:rsidRPr="002830F1" w:rsidRDefault="000A0841" w:rsidP="002830F1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 xml:space="preserve">Para esta unidad de aprendizaje se sugiere la </w:t>
            </w:r>
            <w:r w:rsidRPr="002830F1">
              <w:rPr>
                <w:rFonts w:cs="Arial"/>
                <w:sz w:val="20"/>
                <w:szCs w:val="20"/>
              </w:rPr>
              <w:t>evaluación formativa se realiza con el logro de cada una de las actividades y evidencias presentadas, se desarrolla de manera gradual elaborando una rúbrica para cada actividad sugerida que permita al final integrar un proyecto final.</w:t>
            </w:r>
            <w:r w:rsidR="00C55FDA" w:rsidRPr="002830F1">
              <w:rPr>
                <w:rFonts w:cs="Arial"/>
                <w:sz w:val="20"/>
                <w:szCs w:val="20"/>
              </w:rPr>
              <w:t xml:space="preserve"> Presentación en el Coloquio de estudiantes del 2do. capítulo redactado. (avance esperado del 50%).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2830F1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2830F1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2830F1" w:rsidTr="00996B9F">
        <w:tc>
          <w:tcPr>
            <w:tcW w:w="2607" w:type="pct"/>
            <w:shd w:val="clear" w:color="auto" w:fill="5B9BD5" w:themeFill="accent5"/>
          </w:tcPr>
          <w:p w:rsidR="00813B97" w:rsidRPr="002830F1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2830F1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830F1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2830F1" w:rsidTr="00D13567">
        <w:tc>
          <w:tcPr>
            <w:tcW w:w="2607" w:type="pct"/>
          </w:tcPr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ARGUINZÓNIZ, M. de la L. (1995). Guía de la biblioteca. Trillas, México.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BLAXTER, L. et al. (2000). Cómo se hace una investigación. Gedisa, Barcelona.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COMIE. (2005) La investigación educativa en México 1992:2002, Vol. 1 al 14 por áreas del conocimiento. México.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ECO, Umberto. (2000). Cómo se hace una tesis. Gedisa, México.</w:t>
            </w:r>
          </w:p>
          <w:p w:rsidR="009D672A" w:rsidRPr="002830F1" w:rsidRDefault="009D672A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 xml:space="preserve">GARCÉS PAZ, Hugo. (2000). Investigación científica. </w:t>
            </w:r>
            <w:proofErr w:type="spellStart"/>
            <w:r w:rsidRPr="002830F1">
              <w:rPr>
                <w:rFonts w:eastAsia="Times New Roman" w:cs="Arial"/>
                <w:sz w:val="20"/>
                <w:szCs w:val="20"/>
              </w:rPr>
              <w:t>Abya</w:t>
            </w:r>
            <w:proofErr w:type="spellEnd"/>
            <w:r w:rsidRPr="002830F1">
              <w:rPr>
                <w:rFonts w:eastAsia="Times New Roman" w:cs="Arial"/>
                <w:sz w:val="20"/>
                <w:szCs w:val="20"/>
              </w:rPr>
              <w:t xml:space="preserve">- Yala. ISBN 9978 04 641 0 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GOMEZJARA, Francisco. y Pérez, N. (1993). El diseño de la investigación social. Fontamara, México.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GONZÁLEZ D., J. et. al. (1996), Expresión escrita y estrategias para la escritura. Alambra, México.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2830F1">
              <w:rPr>
                <w:rFonts w:eastAsia="Times New Roman" w:cs="Arial"/>
                <w:sz w:val="20"/>
                <w:szCs w:val="20"/>
              </w:rPr>
              <w:t>http://biblioweb.dgsca.unam.mx/  Normas</w:t>
            </w:r>
            <w:proofErr w:type="gramEnd"/>
            <w:r w:rsidRPr="002830F1">
              <w:rPr>
                <w:rFonts w:eastAsia="Times New Roman" w:cs="Arial"/>
                <w:sz w:val="20"/>
                <w:szCs w:val="20"/>
              </w:rPr>
              <w:t xml:space="preserve"> técnicas y de estilo para el trabajo académico. Consultado en junio de 2006.</w:t>
            </w:r>
          </w:p>
          <w:p w:rsidR="000A0841" w:rsidRPr="002830F1" w:rsidRDefault="000A0841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IBARRA MANRIQUE, Luis Jesús.  (2007). Compilación electrónica de tesis y ensayos del campo educativo. Guanajuato, México.</w:t>
            </w:r>
          </w:p>
          <w:p w:rsidR="009D672A" w:rsidRPr="002830F1" w:rsidRDefault="009D672A" w:rsidP="000A08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 xml:space="preserve">NUÑEZ FLORES, María Isabel. (2007). El seminario y la metodología de la investigación. En Investigación </w:t>
            </w:r>
            <w:proofErr w:type="gramStart"/>
            <w:r w:rsidRPr="002830F1">
              <w:rPr>
                <w:rFonts w:eastAsia="Times New Roman" w:cs="Arial"/>
                <w:sz w:val="20"/>
                <w:szCs w:val="20"/>
              </w:rPr>
              <w:t>Educativa  vol.</w:t>
            </w:r>
            <w:proofErr w:type="gramEnd"/>
            <w:r w:rsidRPr="002830F1">
              <w:rPr>
                <w:rFonts w:eastAsia="Times New Roman" w:cs="Arial"/>
                <w:sz w:val="20"/>
                <w:szCs w:val="20"/>
              </w:rPr>
              <w:t xml:space="preserve"> 11 N.º 19, 65 - 78  Enero-Junio 2007,  ISSN 17285852</w:t>
            </w:r>
          </w:p>
          <w:p w:rsidR="00996B9F" w:rsidRPr="002830F1" w:rsidRDefault="000A0841" w:rsidP="002830F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830F1">
              <w:rPr>
                <w:rFonts w:eastAsia="Times New Roman" w:cs="Arial"/>
                <w:sz w:val="20"/>
                <w:szCs w:val="20"/>
              </w:rPr>
              <w:t>PICK, Susan y López. A. L. (2000). Cómo investigar en Ciencias Sociales. Trillas, México.</w:t>
            </w:r>
          </w:p>
        </w:tc>
        <w:tc>
          <w:tcPr>
            <w:tcW w:w="2393" w:type="pct"/>
          </w:tcPr>
          <w:p w:rsidR="00813B97" w:rsidRPr="002830F1" w:rsidRDefault="00813B97" w:rsidP="00D13567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2830F1" w:rsidRDefault="00813B97">
      <w:pPr>
        <w:rPr>
          <w:sz w:val="20"/>
          <w:szCs w:val="20"/>
        </w:rPr>
      </w:pPr>
    </w:p>
    <w:sectPr w:rsidR="00813B97" w:rsidRPr="002830F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0DC" w:rsidRDefault="00AA70DC" w:rsidP="002830F1">
      <w:pPr>
        <w:spacing w:after="0" w:line="240" w:lineRule="auto"/>
      </w:pPr>
      <w:r>
        <w:separator/>
      </w:r>
    </w:p>
  </w:endnote>
  <w:endnote w:type="continuationSeparator" w:id="0">
    <w:p w:rsidR="00AA70DC" w:rsidRDefault="00AA70DC" w:rsidP="0028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0DC" w:rsidRDefault="00AA70DC" w:rsidP="002830F1">
      <w:pPr>
        <w:spacing w:after="0" w:line="240" w:lineRule="auto"/>
      </w:pPr>
      <w:r>
        <w:separator/>
      </w:r>
    </w:p>
  </w:footnote>
  <w:footnote w:type="continuationSeparator" w:id="0">
    <w:p w:rsidR="00AA70DC" w:rsidRDefault="00AA70DC" w:rsidP="0028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2830F1" w:rsidRPr="004B10D1" w:rsidTr="004B00AA">
      <w:trPr>
        <w:trHeight w:val="600"/>
      </w:trPr>
      <w:tc>
        <w:tcPr>
          <w:tcW w:w="9968" w:type="dxa"/>
          <w:vAlign w:val="center"/>
        </w:tcPr>
        <w:p w:rsidR="002830F1" w:rsidRPr="0090363F" w:rsidRDefault="002830F1" w:rsidP="002830F1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Seminario de titulación I</w:t>
          </w:r>
        </w:p>
      </w:tc>
      <w:tc>
        <w:tcPr>
          <w:tcW w:w="2786" w:type="dxa"/>
        </w:tcPr>
        <w:p w:rsidR="002830F1" w:rsidRPr="004B10D1" w:rsidRDefault="002830F1" w:rsidP="002830F1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17CCC073" wp14:editId="24FFCA74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2830F1" w:rsidRDefault="002830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B2C63"/>
    <w:multiLevelType w:val="hybridMultilevel"/>
    <w:tmpl w:val="2EE0A7C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44342"/>
    <w:multiLevelType w:val="hybridMultilevel"/>
    <w:tmpl w:val="11DEDAA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87024B"/>
    <w:multiLevelType w:val="hybridMultilevel"/>
    <w:tmpl w:val="55D09748"/>
    <w:lvl w:ilvl="0" w:tplc="5BD42D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0A7278"/>
    <w:multiLevelType w:val="hybridMultilevel"/>
    <w:tmpl w:val="64D819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20A2D"/>
    <w:multiLevelType w:val="hybridMultilevel"/>
    <w:tmpl w:val="4B6035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E3D56"/>
    <w:multiLevelType w:val="hybridMultilevel"/>
    <w:tmpl w:val="A40E30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5506C5"/>
    <w:multiLevelType w:val="hybridMultilevel"/>
    <w:tmpl w:val="D19E39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90FAF"/>
    <w:rsid w:val="000A0841"/>
    <w:rsid w:val="000A56FA"/>
    <w:rsid w:val="00172C16"/>
    <w:rsid w:val="001C3833"/>
    <w:rsid w:val="002830F1"/>
    <w:rsid w:val="003461D2"/>
    <w:rsid w:val="003C2A24"/>
    <w:rsid w:val="004B0FA1"/>
    <w:rsid w:val="004E2ABE"/>
    <w:rsid w:val="0061497C"/>
    <w:rsid w:val="0063074F"/>
    <w:rsid w:val="00636A2D"/>
    <w:rsid w:val="00693A63"/>
    <w:rsid w:val="006D46E9"/>
    <w:rsid w:val="006F7859"/>
    <w:rsid w:val="007A7C14"/>
    <w:rsid w:val="00813B97"/>
    <w:rsid w:val="008C6000"/>
    <w:rsid w:val="008E29CE"/>
    <w:rsid w:val="009913BB"/>
    <w:rsid w:val="00996B9F"/>
    <w:rsid w:val="009C560A"/>
    <w:rsid w:val="009D01AA"/>
    <w:rsid w:val="009D672A"/>
    <w:rsid w:val="00A525A1"/>
    <w:rsid w:val="00A64567"/>
    <w:rsid w:val="00AA4CAC"/>
    <w:rsid w:val="00AA70DC"/>
    <w:rsid w:val="00AD4CBC"/>
    <w:rsid w:val="00B06900"/>
    <w:rsid w:val="00C55FDA"/>
    <w:rsid w:val="00DE4B9A"/>
    <w:rsid w:val="00E816F1"/>
    <w:rsid w:val="00EA73F9"/>
    <w:rsid w:val="00ED4943"/>
    <w:rsid w:val="00F54DDF"/>
    <w:rsid w:val="00FB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DB8D7"/>
  <w15:docId w15:val="{640E48C2-DB60-493F-8793-8DFAE940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0A0841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83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0F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83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0F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1371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9</cp:revision>
  <dcterms:created xsi:type="dcterms:W3CDTF">2018-02-01T04:23:00Z</dcterms:created>
  <dcterms:modified xsi:type="dcterms:W3CDTF">2018-05-11T14:51:00Z</dcterms:modified>
</cp:coreProperties>
</file>